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0731" w14:textId="319386A9" w:rsidR="002D2B98" w:rsidRPr="00353E3F" w:rsidRDefault="002A2DF9" w:rsidP="0057043B">
      <w:pPr>
        <w:pStyle w:val="HeaderPrompt"/>
        <w:keepNext/>
        <w:spacing w:before="0" w:after="0"/>
        <w:rPr>
          <w:rFonts w:cs="Arial"/>
          <w:sz w:val="22"/>
          <w:szCs w:val="24"/>
        </w:rPr>
      </w:pPr>
      <w:r w:rsidRPr="00353E3F">
        <w:rPr>
          <w:rFonts w:cs="Arial"/>
          <w:noProof/>
          <w:sz w:val="22"/>
          <w:szCs w:val="24"/>
        </w:rPr>
        <w:drawing>
          <wp:anchor distT="0" distB="0" distL="114300" distR="114300" simplePos="0" relativeHeight="251658240" behindDoc="0" locked="0" layoutInCell="1" allowOverlap="1" wp14:anchorId="1320544E" wp14:editId="003A7A26">
            <wp:simplePos x="0" y="0"/>
            <wp:positionH relativeFrom="margin">
              <wp:align>right</wp:align>
            </wp:positionH>
            <wp:positionV relativeFrom="paragraph">
              <wp:posOffset>-186715</wp:posOffset>
            </wp:positionV>
            <wp:extent cx="883793" cy="8808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793" cy="880861"/>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353E3F">
        <w:rPr>
          <w:rFonts w:cs="Arial"/>
          <w:sz w:val="22"/>
          <w:szCs w:val="24"/>
        </w:rPr>
        <w:t>Association for Project Management</w:t>
      </w:r>
    </w:p>
    <w:p w14:paraId="6B270DD5" w14:textId="77777777" w:rsidR="00206FF9" w:rsidRDefault="00206FF9" w:rsidP="0057043B">
      <w:pPr>
        <w:pStyle w:val="HeaderPrompt"/>
        <w:keepNext/>
        <w:spacing w:before="0" w:after="0"/>
        <w:rPr>
          <w:rFonts w:cs="Arial"/>
          <w:sz w:val="22"/>
          <w:szCs w:val="24"/>
        </w:rPr>
      </w:pPr>
    </w:p>
    <w:p w14:paraId="33E89975" w14:textId="68CF135F" w:rsidR="00560FF2" w:rsidRPr="00353E3F" w:rsidRDefault="002D2B98" w:rsidP="0057043B">
      <w:pPr>
        <w:pStyle w:val="HeaderPrompt"/>
        <w:keepNext/>
        <w:spacing w:before="0" w:after="0"/>
        <w:rPr>
          <w:rFonts w:cs="Arial"/>
          <w:sz w:val="22"/>
          <w:szCs w:val="24"/>
        </w:rPr>
      </w:pPr>
      <w:r w:rsidRPr="00353E3F">
        <w:rPr>
          <w:rFonts w:cs="Arial"/>
          <w:sz w:val="22"/>
          <w:szCs w:val="24"/>
        </w:rPr>
        <w:t>Board</w:t>
      </w:r>
      <w:r w:rsidR="00560FF2" w:rsidRPr="00353E3F">
        <w:rPr>
          <w:rFonts w:cs="Arial"/>
          <w:sz w:val="22"/>
          <w:szCs w:val="24"/>
        </w:rPr>
        <w:t xml:space="preserve"> </w:t>
      </w:r>
      <w:r w:rsidR="00E078F4" w:rsidRPr="00353E3F">
        <w:rPr>
          <w:rFonts w:cs="Arial"/>
          <w:sz w:val="22"/>
          <w:szCs w:val="24"/>
        </w:rPr>
        <w:t xml:space="preserve">Meeting - </w:t>
      </w:r>
      <w:r w:rsidR="00560FF2" w:rsidRPr="00353E3F">
        <w:rPr>
          <w:rFonts w:cs="Arial"/>
          <w:sz w:val="22"/>
          <w:szCs w:val="24"/>
        </w:rPr>
        <w:t>Summary Bulletin</w:t>
      </w:r>
    </w:p>
    <w:p w14:paraId="3F31154E" w14:textId="77777777" w:rsidR="003D3057" w:rsidRDefault="003D3057" w:rsidP="0057043B">
      <w:pPr>
        <w:pStyle w:val="HeaderPrompt"/>
        <w:keepNext/>
        <w:spacing w:before="0" w:after="0"/>
        <w:rPr>
          <w:rFonts w:cs="Arial"/>
          <w:sz w:val="22"/>
          <w:szCs w:val="24"/>
        </w:rPr>
      </w:pPr>
    </w:p>
    <w:p w14:paraId="14D26FDB" w14:textId="366AEDC9" w:rsidR="00560FF2" w:rsidRPr="00353E3F" w:rsidRDefault="00833C18" w:rsidP="0057043B">
      <w:pPr>
        <w:pStyle w:val="HeaderPrompt"/>
        <w:keepNext/>
        <w:spacing w:before="0" w:after="0"/>
        <w:rPr>
          <w:rFonts w:cs="Arial"/>
          <w:sz w:val="22"/>
          <w:szCs w:val="24"/>
        </w:rPr>
      </w:pPr>
      <w:r w:rsidRPr="00353E3F">
        <w:rPr>
          <w:rFonts w:cs="Arial"/>
          <w:sz w:val="22"/>
          <w:szCs w:val="24"/>
        </w:rPr>
        <w:t>September</w:t>
      </w:r>
      <w:r w:rsidR="00415AA1" w:rsidRPr="00353E3F">
        <w:rPr>
          <w:rFonts w:cs="Arial"/>
          <w:sz w:val="22"/>
          <w:szCs w:val="24"/>
        </w:rPr>
        <w:t xml:space="preserve"> 2018</w:t>
      </w:r>
    </w:p>
    <w:p w14:paraId="6819EC6A" w14:textId="25C827E3" w:rsidR="008C358C" w:rsidRPr="00353E3F" w:rsidRDefault="008C358C" w:rsidP="0057043B">
      <w:pPr>
        <w:pStyle w:val="HeaderPrompt"/>
        <w:keepNext/>
        <w:spacing w:before="0" w:after="0"/>
        <w:rPr>
          <w:rFonts w:cs="Arial"/>
          <w:sz w:val="22"/>
          <w:szCs w:val="24"/>
        </w:rPr>
      </w:pPr>
    </w:p>
    <w:p w14:paraId="2D255334" w14:textId="77777777" w:rsidR="00782041" w:rsidRPr="00353E3F" w:rsidRDefault="00560FF2" w:rsidP="0057043B">
      <w:pPr>
        <w:pStyle w:val="HeaderPrompt"/>
        <w:keepNext/>
        <w:spacing w:before="0" w:after="0"/>
        <w:rPr>
          <w:rFonts w:cs="Arial"/>
          <w:b w:val="0"/>
          <w:i/>
          <w:sz w:val="22"/>
          <w:szCs w:val="24"/>
        </w:rPr>
      </w:pPr>
      <w:r w:rsidRPr="00353E3F">
        <w:rPr>
          <w:rFonts w:cs="Arial"/>
          <w:b w:val="0"/>
          <w:i/>
          <w:sz w:val="22"/>
          <w:szCs w:val="24"/>
        </w:rPr>
        <w:t xml:space="preserve">Please note this is a summary for publication </w:t>
      </w:r>
      <w:r w:rsidR="002A2DF9" w:rsidRPr="00353E3F">
        <w:rPr>
          <w:rFonts w:cs="Arial"/>
          <w:b w:val="0"/>
          <w:i/>
          <w:sz w:val="22"/>
          <w:szCs w:val="24"/>
        </w:rPr>
        <w:t xml:space="preserve">purposes </w:t>
      </w:r>
      <w:r w:rsidRPr="00353E3F">
        <w:rPr>
          <w:rFonts w:cs="Arial"/>
          <w:b w:val="0"/>
          <w:i/>
          <w:sz w:val="22"/>
          <w:szCs w:val="24"/>
        </w:rPr>
        <w:t xml:space="preserve">and </w:t>
      </w:r>
      <w:r w:rsidR="005815E2" w:rsidRPr="00353E3F">
        <w:rPr>
          <w:rFonts w:cs="Arial"/>
          <w:b w:val="0"/>
          <w:i/>
          <w:sz w:val="22"/>
          <w:szCs w:val="24"/>
        </w:rPr>
        <w:t xml:space="preserve">not </w:t>
      </w:r>
      <w:r w:rsidRPr="00353E3F">
        <w:rPr>
          <w:rFonts w:cs="Arial"/>
          <w:b w:val="0"/>
          <w:i/>
          <w:sz w:val="22"/>
          <w:szCs w:val="24"/>
        </w:rPr>
        <w:t xml:space="preserve">the formal </w:t>
      </w:r>
      <w:r w:rsidR="00414D5E" w:rsidRPr="00353E3F">
        <w:rPr>
          <w:rFonts w:cs="Arial"/>
          <w:b w:val="0"/>
          <w:i/>
          <w:sz w:val="22"/>
          <w:szCs w:val="24"/>
        </w:rPr>
        <w:t xml:space="preserve">Board </w:t>
      </w:r>
      <w:r w:rsidRPr="00353E3F">
        <w:rPr>
          <w:rFonts w:cs="Arial"/>
          <w:b w:val="0"/>
          <w:i/>
          <w:sz w:val="22"/>
          <w:szCs w:val="24"/>
        </w:rPr>
        <w:t xml:space="preserve">minutes.  </w:t>
      </w:r>
    </w:p>
    <w:p w14:paraId="0BF5B2EF" w14:textId="77777777" w:rsidR="00F856B2" w:rsidRPr="00353E3F" w:rsidRDefault="00F856B2" w:rsidP="0057043B">
      <w:pPr>
        <w:pStyle w:val="HeaderPrompt"/>
        <w:keepNext/>
        <w:spacing w:before="0" w:after="0"/>
        <w:rPr>
          <w:rFonts w:cs="Arial"/>
          <w:sz w:val="22"/>
          <w:szCs w:val="24"/>
        </w:rPr>
      </w:pPr>
    </w:p>
    <w:p w14:paraId="63592FCF" w14:textId="1D84DCED" w:rsidR="00833C18" w:rsidRPr="00353E3F" w:rsidRDefault="00833C18"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w:t>
      </w:r>
      <w:r w:rsidR="00F26501" w:rsidRPr="00353E3F">
        <w:rPr>
          <w:rFonts w:cs="Arial"/>
          <w:sz w:val="22"/>
          <w:szCs w:val="22"/>
        </w:rPr>
        <w:t>B</w:t>
      </w:r>
      <w:r w:rsidRPr="00353E3F">
        <w:rPr>
          <w:rFonts w:cs="Arial"/>
          <w:sz w:val="22"/>
          <w:szCs w:val="22"/>
        </w:rPr>
        <w:t xml:space="preserve">oard received a presentation from Tilney Bestinvest on the performance of its investments.  </w:t>
      </w:r>
    </w:p>
    <w:p w14:paraId="6BDE2169" w14:textId="6DE53180" w:rsidR="006F6F72" w:rsidRPr="00353E3F" w:rsidRDefault="002A3696"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S</w:t>
      </w:r>
      <w:r w:rsidR="00EB6A9D" w:rsidRPr="00353E3F">
        <w:rPr>
          <w:rFonts w:cs="Arial"/>
          <w:sz w:val="22"/>
          <w:szCs w:val="22"/>
        </w:rPr>
        <w:t xml:space="preserve">uccess stories </w:t>
      </w:r>
      <w:r w:rsidR="002511DC" w:rsidRPr="00353E3F">
        <w:rPr>
          <w:rFonts w:cs="Arial"/>
          <w:sz w:val="22"/>
          <w:szCs w:val="22"/>
        </w:rPr>
        <w:t>were noted</w:t>
      </w:r>
      <w:r w:rsidR="0037073D" w:rsidRPr="00353E3F">
        <w:rPr>
          <w:rFonts w:cs="Arial"/>
          <w:sz w:val="22"/>
          <w:szCs w:val="22"/>
        </w:rPr>
        <w:t xml:space="preserve">.  These </w:t>
      </w:r>
      <w:r w:rsidR="00EB6A9D" w:rsidRPr="00353E3F">
        <w:rPr>
          <w:rFonts w:cs="Arial"/>
          <w:sz w:val="22"/>
          <w:szCs w:val="22"/>
        </w:rPr>
        <w:t>includ</w:t>
      </w:r>
      <w:r w:rsidR="00415AA1" w:rsidRPr="00353E3F">
        <w:rPr>
          <w:rFonts w:cs="Arial"/>
          <w:sz w:val="22"/>
          <w:szCs w:val="22"/>
        </w:rPr>
        <w:t xml:space="preserve">ed </w:t>
      </w:r>
      <w:r w:rsidR="00833C18" w:rsidRPr="00353E3F">
        <w:rPr>
          <w:rFonts w:cs="Arial"/>
          <w:sz w:val="22"/>
          <w:szCs w:val="22"/>
        </w:rPr>
        <w:t>continuing strateg</w:t>
      </w:r>
      <w:r w:rsidR="00CB1C77" w:rsidRPr="00353E3F">
        <w:rPr>
          <w:rFonts w:cs="Arial"/>
          <w:sz w:val="22"/>
          <w:szCs w:val="22"/>
        </w:rPr>
        <w:t>y</w:t>
      </w:r>
      <w:r w:rsidR="00833C18" w:rsidRPr="00353E3F">
        <w:rPr>
          <w:rFonts w:cs="Arial"/>
          <w:sz w:val="22"/>
          <w:szCs w:val="22"/>
        </w:rPr>
        <w:t xml:space="preserve"> work with IPMA, the IPMA Council of Delegates meeting, the recent </w:t>
      </w:r>
      <w:r w:rsidR="00833C18" w:rsidRPr="00353E3F">
        <w:rPr>
          <w:rFonts w:cs="Arial"/>
          <w:i/>
          <w:sz w:val="22"/>
          <w:szCs w:val="22"/>
        </w:rPr>
        <w:t>Project</w:t>
      </w:r>
      <w:r w:rsidR="00833C18" w:rsidRPr="00353E3F">
        <w:rPr>
          <w:rFonts w:cs="Arial"/>
          <w:sz w:val="22"/>
          <w:szCs w:val="22"/>
        </w:rPr>
        <w:t xml:space="preserve"> magazine and the members</w:t>
      </w:r>
      <w:r w:rsidR="00CB1C77" w:rsidRPr="00353E3F">
        <w:rPr>
          <w:rFonts w:cs="Arial"/>
          <w:sz w:val="22"/>
          <w:szCs w:val="22"/>
        </w:rPr>
        <w:t>’</w:t>
      </w:r>
      <w:r w:rsidR="00833C18" w:rsidRPr="00353E3F">
        <w:rPr>
          <w:rFonts w:cs="Arial"/>
          <w:sz w:val="22"/>
          <w:szCs w:val="22"/>
        </w:rPr>
        <w:t xml:space="preserve"> annual review.  </w:t>
      </w:r>
    </w:p>
    <w:p w14:paraId="034066A3" w14:textId="33EA4F85" w:rsidR="00833C18" w:rsidRPr="00353E3F" w:rsidRDefault="00833C18" w:rsidP="006F6F72">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Board </w:t>
      </w:r>
      <w:r w:rsidR="00790229" w:rsidRPr="00353E3F">
        <w:rPr>
          <w:rFonts w:cs="Arial"/>
          <w:sz w:val="22"/>
          <w:szCs w:val="22"/>
        </w:rPr>
        <w:t xml:space="preserve">spent some time reviewing </w:t>
      </w:r>
      <w:r w:rsidRPr="00353E3F">
        <w:rPr>
          <w:rFonts w:cs="Arial"/>
          <w:sz w:val="22"/>
          <w:szCs w:val="22"/>
        </w:rPr>
        <w:t xml:space="preserve">summaries of ten ‘sub-strategies’.  These were </w:t>
      </w:r>
      <w:r w:rsidR="00790229" w:rsidRPr="00353E3F">
        <w:rPr>
          <w:rFonts w:cs="Arial"/>
          <w:sz w:val="22"/>
          <w:szCs w:val="22"/>
        </w:rPr>
        <w:t>felt to be good frameworks for the direction of travel towards delivering the overall strategy and business plan.  The strategies were welcomed,</w:t>
      </w:r>
      <w:r w:rsidRPr="00353E3F">
        <w:rPr>
          <w:rFonts w:cs="Arial"/>
          <w:sz w:val="22"/>
          <w:szCs w:val="22"/>
        </w:rPr>
        <w:t xml:space="preserve"> and </w:t>
      </w:r>
      <w:r w:rsidR="00790229" w:rsidRPr="00353E3F">
        <w:rPr>
          <w:rFonts w:cs="Arial"/>
          <w:sz w:val="22"/>
          <w:szCs w:val="22"/>
        </w:rPr>
        <w:t xml:space="preserve">several comments were made which would be taken forward.  The summaries </w:t>
      </w:r>
      <w:r w:rsidRPr="00353E3F">
        <w:rPr>
          <w:rFonts w:cs="Arial"/>
          <w:sz w:val="22"/>
          <w:szCs w:val="22"/>
        </w:rPr>
        <w:t xml:space="preserve">would be updated before </w:t>
      </w:r>
      <w:r w:rsidR="00790229" w:rsidRPr="00353E3F">
        <w:rPr>
          <w:rFonts w:cs="Arial"/>
          <w:sz w:val="22"/>
          <w:szCs w:val="22"/>
        </w:rPr>
        <w:t>detail</w:t>
      </w:r>
      <w:r w:rsidRPr="00353E3F">
        <w:rPr>
          <w:rFonts w:cs="Arial"/>
          <w:sz w:val="22"/>
          <w:szCs w:val="22"/>
        </w:rPr>
        <w:t xml:space="preserve"> </w:t>
      </w:r>
      <w:r w:rsidR="00790229" w:rsidRPr="00353E3F">
        <w:rPr>
          <w:rFonts w:cs="Arial"/>
          <w:sz w:val="22"/>
          <w:szCs w:val="22"/>
        </w:rPr>
        <w:t xml:space="preserve">on them </w:t>
      </w:r>
      <w:r w:rsidR="00F26501" w:rsidRPr="00353E3F">
        <w:rPr>
          <w:rFonts w:cs="Arial"/>
          <w:sz w:val="22"/>
          <w:szCs w:val="22"/>
        </w:rPr>
        <w:t>was</w:t>
      </w:r>
      <w:r w:rsidRPr="00353E3F">
        <w:rPr>
          <w:rFonts w:cs="Arial"/>
          <w:sz w:val="22"/>
          <w:szCs w:val="22"/>
        </w:rPr>
        <w:t xml:space="preserve"> shared more widely.  </w:t>
      </w:r>
    </w:p>
    <w:p w14:paraId="1F5B785F" w14:textId="4DAEAA07" w:rsidR="00833C18" w:rsidRPr="00353E3F" w:rsidRDefault="00833C18" w:rsidP="006F6F72">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As part of the development of an overall career framework, a detailed review of the challenges </w:t>
      </w:r>
      <w:r w:rsidR="00926757" w:rsidRPr="00353E3F">
        <w:rPr>
          <w:rFonts w:cs="Arial"/>
          <w:sz w:val="22"/>
          <w:szCs w:val="22"/>
        </w:rPr>
        <w:t xml:space="preserve">in developing a new </w:t>
      </w:r>
      <w:r w:rsidRPr="00353E3F">
        <w:rPr>
          <w:rFonts w:cs="Arial"/>
          <w:sz w:val="22"/>
          <w:szCs w:val="22"/>
        </w:rPr>
        <w:t xml:space="preserve">membership standard was held.  </w:t>
      </w:r>
      <w:r w:rsidR="00790229" w:rsidRPr="00353E3F">
        <w:rPr>
          <w:rFonts w:cs="Arial"/>
          <w:sz w:val="22"/>
          <w:szCs w:val="22"/>
        </w:rPr>
        <w:t xml:space="preserve">The revised approach was concluded which would provide experiential and knowledge-based routes to full membership.  The precise detail </w:t>
      </w:r>
      <w:r w:rsidRPr="00353E3F">
        <w:rPr>
          <w:rFonts w:cs="Arial"/>
          <w:sz w:val="22"/>
          <w:szCs w:val="22"/>
        </w:rPr>
        <w:t xml:space="preserve">would be fed into the </w:t>
      </w:r>
      <w:r w:rsidR="00790229" w:rsidRPr="00353E3F">
        <w:rPr>
          <w:rFonts w:cs="Arial"/>
          <w:sz w:val="22"/>
          <w:szCs w:val="22"/>
        </w:rPr>
        <w:t xml:space="preserve">current </w:t>
      </w:r>
      <w:r w:rsidRPr="00353E3F">
        <w:rPr>
          <w:rFonts w:cs="Arial"/>
          <w:sz w:val="22"/>
          <w:szCs w:val="22"/>
        </w:rPr>
        <w:t>project</w:t>
      </w:r>
      <w:r w:rsidR="00790229" w:rsidRPr="00353E3F">
        <w:rPr>
          <w:rFonts w:cs="Arial"/>
          <w:sz w:val="22"/>
          <w:szCs w:val="22"/>
        </w:rPr>
        <w:t xml:space="preserve"> and</w:t>
      </w:r>
      <w:r w:rsidRPr="00353E3F">
        <w:rPr>
          <w:rFonts w:cs="Arial"/>
          <w:sz w:val="22"/>
          <w:szCs w:val="22"/>
        </w:rPr>
        <w:t xml:space="preserve"> by the PS&amp;K Committee.  </w:t>
      </w:r>
    </w:p>
    <w:p w14:paraId="3CB82148" w14:textId="43F95C1F" w:rsidR="00833C18" w:rsidRPr="00353E3F" w:rsidRDefault="00833C18" w:rsidP="006F6F72">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Proposals to increase the support for volunteering and to develop wider opportunities to engage with APM were reviewed and supported.  </w:t>
      </w:r>
      <w:r w:rsidR="00790229" w:rsidRPr="00353E3F">
        <w:rPr>
          <w:rFonts w:cs="Arial"/>
          <w:sz w:val="22"/>
          <w:szCs w:val="22"/>
        </w:rPr>
        <w:t xml:space="preserve">The intention was that Branches and SIGs would remain and be supported by appropriate parts of the organisation.  Further opportunities and approaches to volunteering would be developed.  The plans built on the recent research undertaken on the future of volunteering and how to engage younger people in it.  </w:t>
      </w:r>
      <w:r w:rsidRPr="00353E3F">
        <w:rPr>
          <w:rFonts w:cs="Arial"/>
          <w:sz w:val="22"/>
          <w:szCs w:val="22"/>
        </w:rPr>
        <w:t xml:space="preserve">The detail </w:t>
      </w:r>
      <w:r w:rsidR="00790229" w:rsidRPr="00353E3F">
        <w:rPr>
          <w:rFonts w:cs="Arial"/>
          <w:sz w:val="22"/>
          <w:szCs w:val="22"/>
        </w:rPr>
        <w:t xml:space="preserve">will </w:t>
      </w:r>
      <w:r w:rsidRPr="00353E3F">
        <w:rPr>
          <w:rFonts w:cs="Arial"/>
          <w:sz w:val="22"/>
          <w:szCs w:val="22"/>
        </w:rPr>
        <w:t xml:space="preserve">be considered </w:t>
      </w:r>
      <w:r w:rsidR="00353E3F">
        <w:rPr>
          <w:rFonts w:cs="Arial"/>
          <w:sz w:val="22"/>
          <w:szCs w:val="22"/>
        </w:rPr>
        <w:t xml:space="preserve">with stakeholders, including the </w:t>
      </w:r>
      <w:r w:rsidRPr="00353E3F">
        <w:rPr>
          <w:rFonts w:cs="Arial"/>
          <w:sz w:val="22"/>
          <w:szCs w:val="22"/>
        </w:rPr>
        <w:t xml:space="preserve">Volunteers Steering Group and Volunteers Forum.  </w:t>
      </w:r>
    </w:p>
    <w:p w14:paraId="11F111E0" w14:textId="70B85E81" w:rsidR="00353E3F" w:rsidRPr="00353E3F" w:rsidRDefault="00833C18" w:rsidP="00833C18">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Board noted the Chief Executive’s report.  </w:t>
      </w:r>
      <w:r w:rsidR="00353E3F" w:rsidRPr="00353E3F">
        <w:rPr>
          <w:rFonts w:cs="Arial"/>
          <w:sz w:val="22"/>
          <w:szCs w:val="22"/>
        </w:rPr>
        <w:t>This</w:t>
      </w:r>
      <w:r w:rsidRPr="00353E3F">
        <w:rPr>
          <w:rFonts w:cs="Arial"/>
          <w:sz w:val="22"/>
          <w:szCs w:val="22"/>
        </w:rPr>
        <w:t xml:space="preserve"> set out key issues, activities and performance monitoring from across the business.  A further option to increase access to student membership was approved</w:t>
      </w:r>
      <w:r w:rsidR="00790229" w:rsidRPr="00353E3F">
        <w:rPr>
          <w:rFonts w:cs="Arial"/>
          <w:sz w:val="22"/>
          <w:szCs w:val="22"/>
        </w:rPr>
        <w:t xml:space="preserve">; this would be to make </w:t>
      </w:r>
      <w:r w:rsidR="00353E3F">
        <w:rPr>
          <w:rFonts w:cs="Arial"/>
          <w:sz w:val="22"/>
          <w:szCs w:val="22"/>
        </w:rPr>
        <w:t>it available</w:t>
      </w:r>
      <w:r w:rsidR="00790229" w:rsidRPr="00353E3F">
        <w:rPr>
          <w:rFonts w:cs="Arial"/>
          <w:sz w:val="22"/>
          <w:szCs w:val="22"/>
        </w:rPr>
        <w:t xml:space="preserve"> to any student over 16, irrespective of their course subject.  </w:t>
      </w:r>
    </w:p>
    <w:p w14:paraId="5D05E6D0" w14:textId="11745143" w:rsidR="00833C18" w:rsidRPr="00353E3F" w:rsidRDefault="00353E3F" w:rsidP="00833C18">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The Board noted the business performance report</w:t>
      </w:r>
      <w:r w:rsidRPr="00353E3F">
        <w:rPr>
          <w:rFonts w:cs="Arial"/>
          <w:sz w:val="22"/>
          <w:szCs w:val="22"/>
        </w:rPr>
        <w:t xml:space="preserve">. </w:t>
      </w:r>
      <w:r w:rsidR="00926757" w:rsidRPr="00353E3F">
        <w:rPr>
          <w:rFonts w:cs="Arial"/>
          <w:sz w:val="22"/>
          <w:szCs w:val="22"/>
        </w:rPr>
        <w:t>P</w:t>
      </w:r>
      <w:r w:rsidR="00CB1C77" w:rsidRPr="00353E3F">
        <w:rPr>
          <w:rFonts w:cs="Arial"/>
          <w:sz w:val="22"/>
          <w:szCs w:val="22"/>
        </w:rPr>
        <w:t xml:space="preserve">erformance against budget was reviewed and the current positive position </w:t>
      </w:r>
      <w:r w:rsidR="00F26501" w:rsidRPr="00353E3F">
        <w:rPr>
          <w:rFonts w:cs="Arial"/>
          <w:sz w:val="22"/>
          <w:szCs w:val="22"/>
        </w:rPr>
        <w:t xml:space="preserve">was </w:t>
      </w:r>
      <w:r w:rsidR="00CB1C77" w:rsidRPr="00353E3F">
        <w:rPr>
          <w:rFonts w:cs="Arial"/>
          <w:sz w:val="22"/>
          <w:szCs w:val="22"/>
        </w:rPr>
        <w:t xml:space="preserve">welcomed.  </w:t>
      </w:r>
      <w:bookmarkStart w:id="0" w:name="_GoBack"/>
      <w:bookmarkEnd w:id="0"/>
    </w:p>
    <w:p w14:paraId="4C9AB08C" w14:textId="29D3E7C2" w:rsidR="00833C18" w:rsidRPr="00353E3F" w:rsidRDefault="00833C18" w:rsidP="006F6F72">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The annual evaluation of the Board’s performan</w:t>
      </w:r>
      <w:r w:rsidR="00926757" w:rsidRPr="00353E3F">
        <w:rPr>
          <w:rFonts w:cs="Arial"/>
          <w:sz w:val="22"/>
          <w:szCs w:val="22"/>
        </w:rPr>
        <w:t>c</w:t>
      </w:r>
      <w:r w:rsidRPr="00353E3F">
        <w:rPr>
          <w:rFonts w:cs="Arial"/>
          <w:sz w:val="22"/>
          <w:szCs w:val="22"/>
        </w:rPr>
        <w:t xml:space="preserve">e was undertaken via an assessment of APM against the Charity Governance Code.  This had been undertaken on an ‘apply or explain’ basis and </w:t>
      </w:r>
      <w:r w:rsidR="00CB1C77" w:rsidRPr="00353E3F">
        <w:rPr>
          <w:rFonts w:cs="Arial"/>
          <w:sz w:val="22"/>
          <w:szCs w:val="22"/>
        </w:rPr>
        <w:t xml:space="preserve">provided good assurance that APM </w:t>
      </w:r>
      <w:r w:rsidR="00926757" w:rsidRPr="00353E3F">
        <w:rPr>
          <w:rFonts w:cs="Arial"/>
          <w:sz w:val="22"/>
          <w:szCs w:val="22"/>
        </w:rPr>
        <w:t xml:space="preserve">was adhering to </w:t>
      </w:r>
      <w:r w:rsidR="00CB1C77" w:rsidRPr="00353E3F">
        <w:rPr>
          <w:rFonts w:cs="Arial"/>
          <w:sz w:val="22"/>
          <w:szCs w:val="22"/>
        </w:rPr>
        <w:t xml:space="preserve">best practice.  There were </w:t>
      </w:r>
      <w:proofErr w:type="gramStart"/>
      <w:r w:rsidR="00CB1C77" w:rsidRPr="00353E3F">
        <w:rPr>
          <w:rFonts w:cs="Arial"/>
          <w:sz w:val="22"/>
          <w:szCs w:val="22"/>
        </w:rPr>
        <w:t>a number of</w:t>
      </w:r>
      <w:proofErr w:type="gramEnd"/>
      <w:r w:rsidR="00CB1C77" w:rsidRPr="00353E3F">
        <w:rPr>
          <w:rFonts w:cs="Arial"/>
          <w:sz w:val="22"/>
          <w:szCs w:val="22"/>
        </w:rPr>
        <w:t xml:space="preserve"> areas for improvement which would be taken forward.  </w:t>
      </w:r>
    </w:p>
    <w:p w14:paraId="2E996EB1" w14:textId="5C4C4674" w:rsidR="00833C18" w:rsidRPr="00353E3F" w:rsidRDefault="00CB1C77" w:rsidP="006F6F72">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Board confirmed the number of vacancies and the eligibility of candidates for the 2018 Board elections.  </w:t>
      </w:r>
    </w:p>
    <w:p w14:paraId="5B6BF467" w14:textId="56C7D482" w:rsidR="00CB1C77" w:rsidRPr="00353E3F" w:rsidRDefault="00CB1C77" w:rsidP="00CB1C77">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Recommendations </w:t>
      </w:r>
      <w:r w:rsidR="00926757" w:rsidRPr="00353E3F">
        <w:rPr>
          <w:rFonts w:cs="Arial"/>
          <w:sz w:val="22"/>
          <w:szCs w:val="22"/>
        </w:rPr>
        <w:t xml:space="preserve">from the Nominations Panel </w:t>
      </w:r>
      <w:r w:rsidRPr="00353E3F">
        <w:rPr>
          <w:rFonts w:cs="Arial"/>
          <w:sz w:val="22"/>
          <w:szCs w:val="22"/>
        </w:rPr>
        <w:t>on the Sir Monty Finniston Award and the award of Honorary Fellowship were considered</w:t>
      </w:r>
      <w:r w:rsidR="003B7687" w:rsidRPr="00353E3F">
        <w:rPr>
          <w:rFonts w:cs="Arial"/>
          <w:sz w:val="22"/>
          <w:szCs w:val="22"/>
        </w:rPr>
        <w:t xml:space="preserve">. </w:t>
      </w:r>
    </w:p>
    <w:p w14:paraId="4A611C0D" w14:textId="5B9A8EA0" w:rsidR="00CB1C77" w:rsidRPr="00353E3F" w:rsidRDefault="00F26501" w:rsidP="00CB1C77">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latest </w:t>
      </w:r>
      <w:r w:rsidR="00CB1C77" w:rsidRPr="00353E3F">
        <w:rPr>
          <w:rFonts w:cs="Arial"/>
          <w:sz w:val="22"/>
          <w:szCs w:val="22"/>
        </w:rPr>
        <w:t xml:space="preserve">trustees’ engagement calendar was reviewed and welcomed.  </w:t>
      </w:r>
    </w:p>
    <w:p w14:paraId="0BA041C2" w14:textId="731493CF" w:rsidR="00CB1C77" w:rsidRPr="00353E3F" w:rsidRDefault="00CB1C77" w:rsidP="00CB1C77">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strategic risk register was reviewed.  The Board discussed </w:t>
      </w:r>
      <w:proofErr w:type="gramStart"/>
      <w:r w:rsidRPr="00353E3F">
        <w:rPr>
          <w:rFonts w:cs="Arial"/>
          <w:sz w:val="22"/>
          <w:szCs w:val="22"/>
        </w:rPr>
        <w:t>a number of</w:t>
      </w:r>
      <w:proofErr w:type="gramEnd"/>
      <w:r w:rsidRPr="00353E3F">
        <w:rPr>
          <w:rFonts w:cs="Arial"/>
          <w:sz w:val="22"/>
          <w:szCs w:val="22"/>
        </w:rPr>
        <w:t xml:space="preserve"> threats and opportunities.  It noted the </w:t>
      </w:r>
      <w:r w:rsidR="003B7687" w:rsidRPr="00353E3F">
        <w:rPr>
          <w:rFonts w:cs="Arial"/>
          <w:sz w:val="22"/>
          <w:szCs w:val="22"/>
        </w:rPr>
        <w:t>latest</w:t>
      </w:r>
      <w:r w:rsidRPr="00353E3F">
        <w:rPr>
          <w:rFonts w:cs="Arial"/>
          <w:sz w:val="22"/>
          <w:szCs w:val="22"/>
        </w:rPr>
        <w:t xml:space="preserve"> position </w:t>
      </w:r>
      <w:r w:rsidR="00F26501" w:rsidRPr="00353E3F">
        <w:rPr>
          <w:rFonts w:cs="Arial"/>
          <w:sz w:val="22"/>
          <w:szCs w:val="22"/>
        </w:rPr>
        <w:t>o</w:t>
      </w:r>
      <w:r w:rsidRPr="00353E3F">
        <w:rPr>
          <w:rFonts w:cs="Arial"/>
          <w:sz w:val="22"/>
          <w:szCs w:val="22"/>
        </w:rPr>
        <w:t xml:space="preserve">n the acquisition of risk management software.  </w:t>
      </w:r>
    </w:p>
    <w:p w14:paraId="0AF544CD" w14:textId="686D7C1D" w:rsidR="00CB1C77" w:rsidRPr="00353E3F" w:rsidRDefault="00F26501" w:rsidP="00CB1C77">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Formal a</w:t>
      </w:r>
      <w:r w:rsidR="00CB1C77" w:rsidRPr="00353E3F">
        <w:rPr>
          <w:rFonts w:cs="Arial"/>
          <w:sz w:val="22"/>
          <w:szCs w:val="22"/>
        </w:rPr>
        <w:t xml:space="preserve">pprovals were made in relation to </w:t>
      </w:r>
      <w:proofErr w:type="gramStart"/>
      <w:r w:rsidR="00CB1C77" w:rsidRPr="00353E3F">
        <w:rPr>
          <w:rFonts w:cs="Arial"/>
          <w:sz w:val="22"/>
          <w:szCs w:val="22"/>
        </w:rPr>
        <w:t>a number of</w:t>
      </w:r>
      <w:proofErr w:type="gramEnd"/>
      <w:r w:rsidR="00CB1C77" w:rsidRPr="00353E3F">
        <w:rPr>
          <w:rFonts w:cs="Arial"/>
          <w:sz w:val="22"/>
          <w:szCs w:val="22"/>
        </w:rPr>
        <w:t xml:space="preserve"> matters including:  the appointment of a director </w:t>
      </w:r>
      <w:r w:rsidRPr="00353E3F">
        <w:rPr>
          <w:rFonts w:cs="Arial"/>
          <w:sz w:val="22"/>
          <w:szCs w:val="22"/>
        </w:rPr>
        <w:t>to</w:t>
      </w:r>
      <w:r w:rsidR="00CB1C77" w:rsidRPr="00353E3F">
        <w:rPr>
          <w:rFonts w:cs="Arial"/>
          <w:sz w:val="22"/>
          <w:szCs w:val="22"/>
        </w:rPr>
        <w:t xml:space="preserve"> Ibis Trading Ltd; revised financial delegations; </w:t>
      </w:r>
      <w:r w:rsidR="003B7687" w:rsidRPr="00353E3F">
        <w:rPr>
          <w:rFonts w:cs="Arial"/>
          <w:sz w:val="22"/>
          <w:szCs w:val="22"/>
        </w:rPr>
        <w:t xml:space="preserve">budget virements; </w:t>
      </w:r>
      <w:r w:rsidRPr="00353E3F">
        <w:rPr>
          <w:rFonts w:cs="Arial"/>
          <w:sz w:val="22"/>
          <w:szCs w:val="22"/>
        </w:rPr>
        <w:t xml:space="preserve">the AGM notice of meeting; </w:t>
      </w:r>
      <w:r w:rsidR="00CB1C77" w:rsidRPr="00353E3F">
        <w:rPr>
          <w:rFonts w:cs="Arial"/>
          <w:sz w:val="22"/>
          <w:szCs w:val="22"/>
        </w:rPr>
        <w:t xml:space="preserve">bank signatories and new bank accounts.  </w:t>
      </w:r>
    </w:p>
    <w:p w14:paraId="68EEEF84" w14:textId="6A8B1953" w:rsidR="009222CA" w:rsidRPr="00353E3F" w:rsidRDefault="007E5A56" w:rsidP="006F6F72">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 xml:space="preserve">The Board </w:t>
      </w:r>
      <w:r w:rsidR="00F26501" w:rsidRPr="00353E3F">
        <w:rPr>
          <w:rFonts w:cs="Arial"/>
          <w:sz w:val="22"/>
          <w:szCs w:val="22"/>
        </w:rPr>
        <w:t>received</w:t>
      </w:r>
      <w:r w:rsidR="00CB1C77" w:rsidRPr="00353E3F">
        <w:rPr>
          <w:rFonts w:cs="Arial"/>
          <w:sz w:val="22"/>
          <w:szCs w:val="22"/>
        </w:rPr>
        <w:t xml:space="preserve"> an update in </w:t>
      </w:r>
      <w:r w:rsidRPr="00353E3F">
        <w:rPr>
          <w:rFonts w:cs="Arial"/>
          <w:sz w:val="22"/>
          <w:szCs w:val="22"/>
        </w:rPr>
        <w:t xml:space="preserve">relation to leases on its office accommodation.  </w:t>
      </w:r>
    </w:p>
    <w:p w14:paraId="2FC95843" w14:textId="77777777" w:rsidR="00FD4F08" w:rsidRPr="00353E3F" w:rsidRDefault="005053FE"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Reports from Committee Chairs and Board Champions were received</w:t>
      </w:r>
      <w:r w:rsidR="00DD7ACA" w:rsidRPr="00353E3F">
        <w:rPr>
          <w:rFonts w:cs="Arial"/>
          <w:sz w:val="22"/>
          <w:szCs w:val="22"/>
        </w:rPr>
        <w:t xml:space="preserve">, discussed </w:t>
      </w:r>
      <w:r w:rsidRPr="00353E3F">
        <w:rPr>
          <w:rFonts w:cs="Arial"/>
          <w:sz w:val="22"/>
          <w:szCs w:val="22"/>
        </w:rPr>
        <w:t xml:space="preserve">and noted. </w:t>
      </w:r>
    </w:p>
    <w:p w14:paraId="5A4BD4C2" w14:textId="393F477A" w:rsidR="00E52312" w:rsidRPr="00353E3F" w:rsidRDefault="00F561FF" w:rsidP="005053FE">
      <w:pPr>
        <w:pStyle w:val="HeaderData"/>
        <w:keepNext/>
        <w:numPr>
          <w:ilvl w:val="0"/>
          <w:numId w:val="27"/>
        </w:numPr>
        <w:tabs>
          <w:tab w:val="clear" w:pos="227"/>
          <w:tab w:val="left" w:pos="369"/>
        </w:tabs>
        <w:spacing w:before="0" w:after="0"/>
        <w:rPr>
          <w:rFonts w:cs="Arial"/>
          <w:sz w:val="22"/>
          <w:szCs w:val="22"/>
        </w:rPr>
      </w:pPr>
      <w:r w:rsidRPr="00353E3F">
        <w:rPr>
          <w:rFonts w:cs="Arial"/>
          <w:sz w:val="22"/>
          <w:szCs w:val="22"/>
        </w:rPr>
        <w:t>The Board noted its agenda plan of forthcoming business</w:t>
      </w:r>
      <w:r w:rsidR="00D519DE" w:rsidRPr="00353E3F">
        <w:rPr>
          <w:rFonts w:cs="Arial"/>
          <w:sz w:val="22"/>
          <w:szCs w:val="22"/>
        </w:rPr>
        <w:t>.</w:t>
      </w:r>
    </w:p>
    <w:p w14:paraId="3FA20BF6" w14:textId="27E9DD36" w:rsidR="00716C2E" w:rsidRPr="00353E3F" w:rsidRDefault="00716C2E" w:rsidP="00797755">
      <w:pPr>
        <w:widowControl w:val="0"/>
        <w:rPr>
          <w:rFonts w:cs="Arial"/>
          <w:b/>
          <w:sz w:val="20"/>
          <w:szCs w:val="22"/>
        </w:rPr>
      </w:pPr>
    </w:p>
    <w:p w14:paraId="03A38BCC" w14:textId="77777777" w:rsidR="00833C18" w:rsidRPr="003D3057" w:rsidRDefault="00833C18" w:rsidP="00833C18">
      <w:pPr>
        <w:widowControl w:val="0"/>
        <w:rPr>
          <w:rFonts w:cs="Arial"/>
          <w:b/>
          <w:sz w:val="18"/>
          <w:szCs w:val="22"/>
        </w:rPr>
      </w:pPr>
      <w:r w:rsidRPr="003D3057">
        <w:rPr>
          <w:rFonts w:cs="Arial"/>
          <w:b/>
          <w:sz w:val="18"/>
          <w:szCs w:val="22"/>
        </w:rPr>
        <w:t>Appendix 1 – Board Meeting Attendance Record 2018</w:t>
      </w:r>
    </w:p>
    <w:p w14:paraId="3436D49F" w14:textId="77777777" w:rsidR="00833C18" w:rsidRPr="003D3057" w:rsidRDefault="00833C18" w:rsidP="00833C18">
      <w:pPr>
        <w:widowControl w:val="0"/>
        <w:rPr>
          <w:rFonts w:cs="Arial"/>
          <w:b/>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833C18" w:rsidRPr="003D3057" w14:paraId="42573020" w14:textId="77777777" w:rsidTr="00833C18">
        <w:tc>
          <w:tcPr>
            <w:tcW w:w="3119" w:type="dxa"/>
          </w:tcPr>
          <w:p w14:paraId="3687A47D" w14:textId="77777777" w:rsidR="00833C18" w:rsidRPr="003D3057" w:rsidRDefault="00833C18" w:rsidP="00833C18">
            <w:pPr>
              <w:widowControl w:val="0"/>
              <w:ind w:left="283"/>
              <w:rPr>
                <w:rFonts w:cs="Arial"/>
                <w:sz w:val="18"/>
                <w:szCs w:val="22"/>
              </w:rPr>
            </w:pPr>
            <w:r w:rsidRPr="003D3057">
              <w:rPr>
                <w:rFonts w:cs="Arial"/>
                <w:sz w:val="18"/>
                <w:szCs w:val="22"/>
              </w:rPr>
              <w:t>NAME</w:t>
            </w:r>
          </w:p>
        </w:tc>
        <w:tc>
          <w:tcPr>
            <w:tcW w:w="1559" w:type="dxa"/>
          </w:tcPr>
          <w:p w14:paraId="0CBE2941" w14:textId="77777777" w:rsidR="00833C18" w:rsidRPr="003D3057" w:rsidRDefault="00833C18" w:rsidP="00833C18">
            <w:pPr>
              <w:widowControl w:val="0"/>
              <w:ind w:left="283"/>
              <w:rPr>
                <w:rFonts w:cs="Arial"/>
                <w:sz w:val="18"/>
                <w:szCs w:val="22"/>
              </w:rPr>
            </w:pPr>
            <w:r w:rsidRPr="003D3057">
              <w:rPr>
                <w:rFonts w:cs="Arial"/>
                <w:sz w:val="18"/>
                <w:szCs w:val="22"/>
              </w:rPr>
              <w:t>PRESENT</w:t>
            </w:r>
          </w:p>
        </w:tc>
        <w:tc>
          <w:tcPr>
            <w:tcW w:w="1418" w:type="dxa"/>
          </w:tcPr>
          <w:p w14:paraId="76414DEB" w14:textId="77777777" w:rsidR="00833C18" w:rsidRPr="003D3057" w:rsidRDefault="00833C18" w:rsidP="00833C18">
            <w:pPr>
              <w:widowControl w:val="0"/>
              <w:ind w:left="283"/>
              <w:rPr>
                <w:rFonts w:cs="Arial"/>
                <w:sz w:val="18"/>
                <w:szCs w:val="22"/>
              </w:rPr>
            </w:pPr>
            <w:r w:rsidRPr="003D3057">
              <w:rPr>
                <w:rFonts w:cs="Arial"/>
                <w:sz w:val="18"/>
                <w:szCs w:val="22"/>
              </w:rPr>
              <w:t>OUT OF</w:t>
            </w:r>
          </w:p>
        </w:tc>
      </w:tr>
      <w:tr w:rsidR="00833C18" w:rsidRPr="003D3057" w14:paraId="5D755FB2" w14:textId="77777777" w:rsidTr="00833C18">
        <w:tc>
          <w:tcPr>
            <w:tcW w:w="3119" w:type="dxa"/>
          </w:tcPr>
          <w:p w14:paraId="25DE09ED" w14:textId="77777777" w:rsidR="00833C18" w:rsidRPr="003D3057" w:rsidRDefault="00833C18" w:rsidP="00833C18">
            <w:pPr>
              <w:widowControl w:val="0"/>
              <w:ind w:left="283"/>
              <w:rPr>
                <w:rFonts w:cs="Arial"/>
                <w:sz w:val="18"/>
                <w:szCs w:val="22"/>
              </w:rPr>
            </w:pPr>
            <w:r w:rsidRPr="003D3057">
              <w:rPr>
                <w:rFonts w:cs="Arial"/>
                <w:sz w:val="18"/>
                <w:szCs w:val="22"/>
              </w:rPr>
              <w:t>Susie Boyce</w:t>
            </w:r>
          </w:p>
        </w:tc>
        <w:tc>
          <w:tcPr>
            <w:tcW w:w="1559" w:type="dxa"/>
            <w:shd w:val="clear" w:color="auto" w:fill="auto"/>
          </w:tcPr>
          <w:p w14:paraId="522F9BD1" w14:textId="77777777" w:rsidR="00833C18" w:rsidRPr="003D3057" w:rsidRDefault="00833C18" w:rsidP="00833C18">
            <w:pPr>
              <w:widowControl w:val="0"/>
              <w:ind w:left="360"/>
              <w:rPr>
                <w:rFonts w:cs="Arial"/>
                <w:sz w:val="18"/>
                <w:szCs w:val="22"/>
              </w:rPr>
            </w:pPr>
            <w:r w:rsidRPr="003D3057">
              <w:rPr>
                <w:rFonts w:cs="Arial"/>
                <w:sz w:val="18"/>
                <w:szCs w:val="22"/>
              </w:rPr>
              <w:t>5</w:t>
            </w:r>
          </w:p>
        </w:tc>
        <w:tc>
          <w:tcPr>
            <w:tcW w:w="1418" w:type="dxa"/>
          </w:tcPr>
          <w:p w14:paraId="07798F26"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20D9A303" w14:textId="77777777" w:rsidTr="00833C18">
        <w:tc>
          <w:tcPr>
            <w:tcW w:w="3119" w:type="dxa"/>
          </w:tcPr>
          <w:p w14:paraId="7AE52706" w14:textId="77777777" w:rsidR="00833C18" w:rsidRPr="003D3057" w:rsidRDefault="00833C18" w:rsidP="00833C18">
            <w:pPr>
              <w:widowControl w:val="0"/>
              <w:ind w:left="283"/>
              <w:rPr>
                <w:rFonts w:cs="Arial"/>
                <w:sz w:val="18"/>
                <w:szCs w:val="22"/>
              </w:rPr>
            </w:pPr>
            <w:r w:rsidRPr="003D3057">
              <w:rPr>
                <w:rFonts w:cs="Arial"/>
                <w:sz w:val="18"/>
                <w:szCs w:val="22"/>
              </w:rPr>
              <w:t>Paul Chapman</w:t>
            </w:r>
          </w:p>
        </w:tc>
        <w:tc>
          <w:tcPr>
            <w:tcW w:w="1559" w:type="dxa"/>
            <w:shd w:val="clear" w:color="auto" w:fill="auto"/>
          </w:tcPr>
          <w:p w14:paraId="4416F895" w14:textId="77777777" w:rsidR="00833C18" w:rsidRPr="003D3057" w:rsidRDefault="00833C18" w:rsidP="00833C18">
            <w:pPr>
              <w:widowControl w:val="0"/>
              <w:ind w:left="360"/>
              <w:rPr>
                <w:rFonts w:cs="Arial"/>
                <w:sz w:val="18"/>
                <w:szCs w:val="22"/>
              </w:rPr>
            </w:pPr>
            <w:r w:rsidRPr="003D3057">
              <w:rPr>
                <w:rFonts w:cs="Arial"/>
                <w:sz w:val="18"/>
                <w:szCs w:val="22"/>
              </w:rPr>
              <w:t>5</w:t>
            </w:r>
          </w:p>
        </w:tc>
        <w:tc>
          <w:tcPr>
            <w:tcW w:w="1418" w:type="dxa"/>
          </w:tcPr>
          <w:p w14:paraId="404B3915"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0C48E7C5" w14:textId="77777777" w:rsidTr="00833C18">
        <w:tc>
          <w:tcPr>
            <w:tcW w:w="3119" w:type="dxa"/>
          </w:tcPr>
          <w:p w14:paraId="584F6F66" w14:textId="77777777" w:rsidR="00833C18" w:rsidRPr="003D3057" w:rsidRDefault="00833C18" w:rsidP="00833C18">
            <w:pPr>
              <w:widowControl w:val="0"/>
              <w:ind w:left="283"/>
              <w:rPr>
                <w:rFonts w:cs="Arial"/>
                <w:sz w:val="18"/>
                <w:szCs w:val="22"/>
              </w:rPr>
            </w:pPr>
            <w:r w:rsidRPr="003D3057">
              <w:rPr>
                <w:rFonts w:cs="Arial"/>
                <w:sz w:val="18"/>
                <w:szCs w:val="22"/>
              </w:rPr>
              <w:t>Alistair Godbold</w:t>
            </w:r>
          </w:p>
        </w:tc>
        <w:tc>
          <w:tcPr>
            <w:tcW w:w="1559" w:type="dxa"/>
            <w:shd w:val="clear" w:color="auto" w:fill="auto"/>
          </w:tcPr>
          <w:p w14:paraId="7A717691" w14:textId="77777777" w:rsidR="00833C18" w:rsidRPr="003D3057" w:rsidRDefault="00833C18" w:rsidP="00833C18">
            <w:pPr>
              <w:widowControl w:val="0"/>
              <w:ind w:left="360"/>
              <w:rPr>
                <w:rFonts w:cs="Arial"/>
                <w:sz w:val="18"/>
                <w:szCs w:val="22"/>
              </w:rPr>
            </w:pPr>
            <w:r w:rsidRPr="003D3057">
              <w:rPr>
                <w:rFonts w:cs="Arial"/>
                <w:sz w:val="18"/>
                <w:szCs w:val="22"/>
              </w:rPr>
              <w:t>5</w:t>
            </w:r>
          </w:p>
        </w:tc>
        <w:tc>
          <w:tcPr>
            <w:tcW w:w="1418" w:type="dxa"/>
          </w:tcPr>
          <w:p w14:paraId="6DDE82B2"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6A528492" w14:textId="77777777" w:rsidTr="00833C18">
        <w:tc>
          <w:tcPr>
            <w:tcW w:w="3119" w:type="dxa"/>
          </w:tcPr>
          <w:p w14:paraId="63F022D7" w14:textId="77777777" w:rsidR="00833C18" w:rsidRPr="003D3057" w:rsidRDefault="00833C18" w:rsidP="00833C18">
            <w:pPr>
              <w:widowControl w:val="0"/>
              <w:ind w:left="283"/>
              <w:rPr>
                <w:rFonts w:cs="Arial"/>
                <w:sz w:val="18"/>
                <w:szCs w:val="22"/>
              </w:rPr>
            </w:pPr>
            <w:r w:rsidRPr="003D3057">
              <w:rPr>
                <w:rFonts w:cs="Arial"/>
                <w:sz w:val="18"/>
                <w:szCs w:val="22"/>
              </w:rPr>
              <w:t>John Gordon</w:t>
            </w:r>
          </w:p>
        </w:tc>
        <w:tc>
          <w:tcPr>
            <w:tcW w:w="1559" w:type="dxa"/>
            <w:shd w:val="clear" w:color="auto" w:fill="auto"/>
          </w:tcPr>
          <w:p w14:paraId="0E758DBE" w14:textId="77777777" w:rsidR="00833C18" w:rsidRPr="003D3057" w:rsidRDefault="00833C18" w:rsidP="00833C18">
            <w:pPr>
              <w:widowControl w:val="0"/>
              <w:ind w:left="360"/>
              <w:rPr>
                <w:rFonts w:cs="Arial"/>
                <w:sz w:val="18"/>
                <w:szCs w:val="22"/>
              </w:rPr>
            </w:pPr>
            <w:r w:rsidRPr="003D3057">
              <w:rPr>
                <w:rFonts w:cs="Arial"/>
                <w:sz w:val="18"/>
                <w:szCs w:val="22"/>
              </w:rPr>
              <w:t>5</w:t>
            </w:r>
          </w:p>
        </w:tc>
        <w:tc>
          <w:tcPr>
            <w:tcW w:w="1418" w:type="dxa"/>
          </w:tcPr>
          <w:p w14:paraId="4ECB5A42"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3F4D7848" w14:textId="77777777" w:rsidTr="00833C18">
        <w:tc>
          <w:tcPr>
            <w:tcW w:w="3119" w:type="dxa"/>
          </w:tcPr>
          <w:p w14:paraId="7AB4B2C5" w14:textId="77777777" w:rsidR="00833C18" w:rsidRPr="003D3057" w:rsidRDefault="00833C18" w:rsidP="00833C18">
            <w:pPr>
              <w:widowControl w:val="0"/>
              <w:ind w:left="283"/>
              <w:rPr>
                <w:rFonts w:cs="Arial"/>
                <w:sz w:val="18"/>
                <w:szCs w:val="22"/>
              </w:rPr>
            </w:pPr>
            <w:r w:rsidRPr="003D3057">
              <w:rPr>
                <w:rFonts w:cs="Arial"/>
                <w:sz w:val="18"/>
                <w:szCs w:val="22"/>
              </w:rPr>
              <w:t>Stephen Jones</w:t>
            </w:r>
          </w:p>
        </w:tc>
        <w:tc>
          <w:tcPr>
            <w:tcW w:w="1559" w:type="dxa"/>
            <w:shd w:val="clear" w:color="auto" w:fill="auto"/>
          </w:tcPr>
          <w:p w14:paraId="013B38B0" w14:textId="77777777" w:rsidR="00833C18" w:rsidRPr="003D3057" w:rsidRDefault="00833C18" w:rsidP="00833C18">
            <w:pPr>
              <w:widowControl w:val="0"/>
              <w:ind w:left="360"/>
              <w:rPr>
                <w:rFonts w:cs="Arial"/>
                <w:sz w:val="18"/>
                <w:szCs w:val="22"/>
              </w:rPr>
            </w:pPr>
            <w:r w:rsidRPr="003D3057">
              <w:rPr>
                <w:rFonts w:cs="Arial"/>
                <w:sz w:val="18"/>
                <w:szCs w:val="22"/>
              </w:rPr>
              <w:t>4</w:t>
            </w:r>
          </w:p>
        </w:tc>
        <w:tc>
          <w:tcPr>
            <w:tcW w:w="1418" w:type="dxa"/>
          </w:tcPr>
          <w:p w14:paraId="57FA7AFF" w14:textId="77777777" w:rsidR="00833C18" w:rsidRPr="003D3057" w:rsidRDefault="00833C18" w:rsidP="00833C18">
            <w:pPr>
              <w:widowControl w:val="0"/>
              <w:ind w:left="360"/>
              <w:rPr>
                <w:rFonts w:cs="Arial"/>
                <w:sz w:val="18"/>
                <w:szCs w:val="22"/>
              </w:rPr>
            </w:pPr>
            <w:r w:rsidRPr="003D3057">
              <w:rPr>
                <w:rFonts w:cs="Arial"/>
                <w:sz w:val="18"/>
                <w:szCs w:val="22"/>
              </w:rPr>
              <w:t>4</w:t>
            </w:r>
          </w:p>
        </w:tc>
      </w:tr>
      <w:tr w:rsidR="00833C18" w:rsidRPr="003D3057" w14:paraId="6ED189B3" w14:textId="77777777" w:rsidTr="00833C18">
        <w:tc>
          <w:tcPr>
            <w:tcW w:w="3119" w:type="dxa"/>
          </w:tcPr>
          <w:p w14:paraId="1A0C39D3" w14:textId="77777777" w:rsidR="00833C18" w:rsidRPr="003D3057" w:rsidRDefault="00833C18" w:rsidP="00833C18">
            <w:pPr>
              <w:widowControl w:val="0"/>
              <w:ind w:left="283"/>
              <w:rPr>
                <w:rFonts w:cs="Arial"/>
                <w:sz w:val="18"/>
                <w:szCs w:val="22"/>
              </w:rPr>
            </w:pPr>
            <w:r w:rsidRPr="003D3057">
              <w:rPr>
                <w:rFonts w:cs="Arial"/>
                <w:sz w:val="18"/>
                <w:szCs w:val="22"/>
              </w:rPr>
              <w:t>Alan Macklin</w:t>
            </w:r>
          </w:p>
        </w:tc>
        <w:tc>
          <w:tcPr>
            <w:tcW w:w="1559" w:type="dxa"/>
            <w:shd w:val="clear" w:color="auto" w:fill="auto"/>
          </w:tcPr>
          <w:p w14:paraId="62131B0F" w14:textId="77777777" w:rsidR="00833C18" w:rsidRPr="003D3057" w:rsidRDefault="00833C18" w:rsidP="00833C18">
            <w:pPr>
              <w:widowControl w:val="0"/>
              <w:ind w:left="360"/>
              <w:rPr>
                <w:rFonts w:cs="Arial"/>
                <w:sz w:val="18"/>
                <w:szCs w:val="22"/>
              </w:rPr>
            </w:pPr>
            <w:r w:rsidRPr="003D3057">
              <w:rPr>
                <w:rFonts w:cs="Arial"/>
                <w:sz w:val="18"/>
                <w:szCs w:val="22"/>
              </w:rPr>
              <w:t>5</w:t>
            </w:r>
          </w:p>
        </w:tc>
        <w:tc>
          <w:tcPr>
            <w:tcW w:w="1418" w:type="dxa"/>
          </w:tcPr>
          <w:p w14:paraId="1201EC43"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75BDE734" w14:textId="77777777" w:rsidTr="00833C18">
        <w:tc>
          <w:tcPr>
            <w:tcW w:w="3119" w:type="dxa"/>
          </w:tcPr>
          <w:p w14:paraId="779C7D2D" w14:textId="77777777" w:rsidR="00833C18" w:rsidRPr="003D3057" w:rsidRDefault="00833C18" w:rsidP="00833C18">
            <w:pPr>
              <w:widowControl w:val="0"/>
              <w:ind w:left="283"/>
              <w:rPr>
                <w:rFonts w:cs="Arial"/>
                <w:sz w:val="18"/>
                <w:szCs w:val="22"/>
              </w:rPr>
            </w:pPr>
            <w:r w:rsidRPr="003D3057">
              <w:rPr>
                <w:rFonts w:cs="Arial"/>
                <w:sz w:val="18"/>
                <w:szCs w:val="22"/>
              </w:rPr>
              <w:t>John McGlynn</w:t>
            </w:r>
          </w:p>
        </w:tc>
        <w:tc>
          <w:tcPr>
            <w:tcW w:w="1559" w:type="dxa"/>
            <w:shd w:val="clear" w:color="auto" w:fill="auto"/>
          </w:tcPr>
          <w:p w14:paraId="497B2FF1" w14:textId="77777777" w:rsidR="00833C18" w:rsidRPr="003D3057" w:rsidRDefault="00833C18" w:rsidP="00833C18">
            <w:pPr>
              <w:widowControl w:val="0"/>
              <w:ind w:left="360"/>
              <w:rPr>
                <w:rFonts w:cs="Arial"/>
                <w:sz w:val="18"/>
                <w:szCs w:val="22"/>
              </w:rPr>
            </w:pPr>
            <w:r w:rsidRPr="003D3057">
              <w:rPr>
                <w:rFonts w:cs="Arial"/>
                <w:sz w:val="18"/>
                <w:szCs w:val="22"/>
              </w:rPr>
              <w:t>5</w:t>
            </w:r>
          </w:p>
        </w:tc>
        <w:tc>
          <w:tcPr>
            <w:tcW w:w="1418" w:type="dxa"/>
          </w:tcPr>
          <w:p w14:paraId="15EB0F7D"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60FE331C" w14:textId="77777777" w:rsidTr="00833C18">
        <w:tc>
          <w:tcPr>
            <w:tcW w:w="3119" w:type="dxa"/>
          </w:tcPr>
          <w:p w14:paraId="115BA9F5" w14:textId="77777777" w:rsidR="00833C18" w:rsidRPr="003D3057" w:rsidRDefault="00833C18" w:rsidP="00833C18">
            <w:pPr>
              <w:widowControl w:val="0"/>
              <w:ind w:left="283"/>
              <w:rPr>
                <w:rFonts w:cs="Arial"/>
                <w:sz w:val="18"/>
                <w:szCs w:val="22"/>
              </w:rPr>
            </w:pPr>
            <w:r w:rsidRPr="003D3057">
              <w:rPr>
                <w:rFonts w:cs="Arial"/>
                <w:sz w:val="18"/>
                <w:szCs w:val="22"/>
              </w:rPr>
              <w:t>Milla Mazilu</w:t>
            </w:r>
          </w:p>
        </w:tc>
        <w:tc>
          <w:tcPr>
            <w:tcW w:w="1559" w:type="dxa"/>
            <w:shd w:val="clear" w:color="auto" w:fill="auto"/>
          </w:tcPr>
          <w:p w14:paraId="0493DD6C" w14:textId="77777777" w:rsidR="00833C18" w:rsidRPr="003D3057" w:rsidRDefault="00833C18" w:rsidP="00833C18">
            <w:pPr>
              <w:widowControl w:val="0"/>
              <w:ind w:left="360"/>
              <w:rPr>
                <w:rFonts w:cs="Arial"/>
                <w:sz w:val="18"/>
                <w:szCs w:val="22"/>
              </w:rPr>
            </w:pPr>
            <w:r w:rsidRPr="003D3057">
              <w:rPr>
                <w:rFonts w:cs="Arial"/>
                <w:sz w:val="18"/>
                <w:szCs w:val="22"/>
              </w:rPr>
              <w:t>4</w:t>
            </w:r>
          </w:p>
        </w:tc>
        <w:tc>
          <w:tcPr>
            <w:tcW w:w="1418" w:type="dxa"/>
          </w:tcPr>
          <w:p w14:paraId="37A21B4D"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72D0D7FC" w14:textId="77777777" w:rsidTr="00833C18">
        <w:tc>
          <w:tcPr>
            <w:tcW w:w="3119" w:type="dxa"/>
          </w:tcPr>
          <w:p w14:paraId="12FBA6B8" w14:textId="77777777" w:rsidR="00833C18" w:rsidRPr="003D3057" w:rsidRDefault="00833C18" w:rsidP="00833C18">
            <w:pPr>
              <w:widowControl w:val="0"/>
              <w:ind w:left="283"/>
              <w:rPr>
                <w:rFonts w:cs="Arial"/>
                <w:sz w:val="18"/>
                <w:szCs w:val="22"/>
              </w:rPr>
            </w:pPr>
            <w:r w:rsidRPr="003D3057">
              <w:rPr>
                <w:rFonts w:cs="Arial"/>
                <w:sz w:val="18"/>
                <w:szCs w:val="22"/>
              </w:rPr>
              <w:t>Roy Millard</w:t>
            </w:r>
          </w:p>
        </w:tc>
        <w:tc>
          <w:tcPr>
            <w:tcW w:w="1559" w:type="dxa"/>
            <w:shd w:val="clear" w:color="auto" w:fill="auto"/>
          </w:tcPr>
          <w:p w14:paraId="5B37A9BF" w14:textId="77777777" w:rsidR="00833C18" w:rsidRPr="003D3057" w:rsidRDefault="00833C18" w:rsidP="00833C18">
            <w:pPr>
              <w:widowControl w:val="0"/>
              <w:ind w:left="360"/>
              <w:rPr>
                <w:rFonts w:cs="Arial"/>
                <w:sz w:val="18"/>
                <w:szCs w:val="22"/>
              </w:rPr>
            </w:pPr>
            <w:r w:rsidRPr="003D3057">
              <w:rPr>
                <w:rFonts w:cs="Arial"/>
                <w:sz w:val="18"/>
                <w:szCs w:val="22"/>
              </w:rPr>
              <w:t>4</w:t>
            </w:r>
          </w:p>
        </w:tc>
        <w:tc>
          <w:tcPr>
            <w:tcW w:w="1418" w:type="dxa"/>
          </w:tcPr>
          <w:p w14:paraId="0177FA7A"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7AE78396" w14:textId="77777777" w:rsidTr="00833C18">
        <w:tc>
          <w:tcPr>
            <w:tcW w:w="3119" w:type="dxa"/>
          </w:tcPr>
          <w:p w14:paraId="50FACB32" w14:textId="77777777" w:rsidR="00833C18" w:rsidRPr="003D3057" w:rsidRDefault="00833C18" w:rsidP="00833C18">
            <w:pPr>
              <w:widowControl w:val="0"/>
              <w:ind w:left="283"/>
              <w:rPr>
                <w:rFonts w:cs="Arial"/>
                <w:sz w:val="18"/>
                <w:szCs w:val="22"/>
              </w:rPr>
            </w:pPr>
            <w:r w:rsidRPr="003D3057">
              <w:rPr>
                <w:rFonts w:cs="Arial"/>
                <w:sz w:val="18"/>
                <w:szCs w:val="22"/>
              </w:rPr>
              <w:t>Ranjit Sidhu</w:t>
            </w:r>
          </w:p>
        </w:tc>
        <w:tc>
          <w:tcPr>
            <w:tcW w:w="1559" w:type="dxa"/>
            <w:shd w:val="clear" w:color="auto" w:fill="auto"/>
          </w:tcPr>
          <w:p w14:paraId="40520AB7" w14:textId="77777777" w:rsidR="00833C18" w:rsidRPr="003D3057" w:rsidRDefault="00833C18" w:rsidP="00833C18">
            <w:pPr>
              <w:widowControl w:val="0"/>
              <w:ind w:left="360"/>
              <w:rPr>
                <w:rFonts w:cs="Arial"/>
                <w:sz w:val="18"/>
                <w:szCs w:val="22"/>
              </w:rPr>
            </w:pPr>
            <w:r w:rsidRPr="003D3057">
              <w:rPr>
                <w:rFonts w:cs="Arial"/>
                <w:sz w:val="18"/>
                <w:szCs w:val="22"/>
              </w:rPr>
              <w:t>4</w:t>
            </w:r>
          </w:p>
        </w:tc>
        <w:tc>
          <w:tcPr>
            <w:tcW w:w="1418" w:type="dxa"/>
          </w:tcPr>
          <w:p w14:paraId="2671E83F" w14:textId="77777777" w:rsidR="00833C18" w:rsidRPr="003D3057" w:rsidRDefault="00833C18" w:rsidP="00833C18">
            <w:pPr>
              <w:widowControl w:val="0"/>
              <w:ind w:left="360"/>
              <w:rPr>
                <w:rFonts w:cs="Arial"/>
                <w:sz w:val="18"/>
                <w:szCs w:val="22"/>
              </w:rPr>
            </w:pPr>
            <w:r w:rsidRPr="003D3057">
              <w:rPr>
                <w:rFonts w:cs="Arial"/>
                <w:sz w:val="18"/>
                <w:szCs w:val="22"/>
              </w:rPr>
              <w:t>5</w:t>
            </w:r>
          </w:p>
        </w:tc>
      </w:tr>
      <w:tr w:rsidR="00833C18" w:rsidRPr="003D3057" w14:paraId="0CC1FE04" w14:textId="77777777" w:rsidTr="00833C18">
        <w:tc>
          <w:tcPr>
            <w:tcW w:w="3119" w:type="dxa"/>
          </w:tcPr>
          <w:p w14:paraId="1EB0155E" w14:textId="77777777" w:rsidR="00833C18" w:rsidRPr="003D3057" w:rsidRDefault="00833C18" w:rsidP="00833C18">
            <w:pPr>
              <w:widowControl w:val="0"/>
              <w:ind w:left="283"/>
              <w:rPr>
                <w:rFonts w:cs="Arial"/>
                <w:sz w:val="18"/>
                <w:szCs w:val="22"/>
              </w:rPr>
            </w:pPr>
            <w:r w:rsidRPr="003D3057">
              <w:rPr>
                <w:rFonts w:cs="Arial"/>
                <w:sz w:val="18"/>
                <w:szCs w:val="22"/>
              </w:rPr>
              <w:t>Brian Wernham</w:t>
            </w:r>
          </w:p>
        </w:tc>
        <w:tc>
          <w:tcPr>
            <w:tcW w:w="1559" w:type="dxa"/>
            <w:shd w:val="clear" w:color="auto" w:fill="auto"/>
          </w:tcPr>
          <w:p w14:paraId="643084FF" w14:textId="77777777" w:rsidR="00833C18" w:rsidRPr="003D3057" w:rsidRDefault="00833C18" w:rsidP="00833C18">
            <w:pPr>
              <w:widowControl w:val="0"/>
              <w:ind w:left="360"/>
              <w:rPr>
                <w:rFonts w:cs="Arial"/>
                <w:sz w:val="18"/>
                <w:szCs w:val="22"/>
              </w:rPr>
            </w:pPr>
            <w:r w:rsidRPr="003D3057">
              <w:rPr>
                <w:rFonts w:cs="Arial"/>
                <w:sz w:val="18"/>
                <w:szCs w:val="22"/>
              </w:rPr>
              <w:t>2</w:t>
            </w:r>
          </w:p>
        </w:tc>
        <w:tc>
          <w:tcPr>
            <w:tcW w:w="1418" w:type="dxa"/>
          </w:tcPr>
          <w:p w14:paraId="346B2046" w14:textId="77777777" w:rsidR="00833C18" w:rsidRPr="003D3057" w:rsidRDefault="00833C18" w:rsidP="00833C18">
            <w:pPr>
              <w:widowControl w:val="0"/>
              <w:ind w:left="360"/>
              <w:rPr>
                <w:rFonts w:cs="Arial"/>
                <w:sz w:val="18"/>
                <w:szCs w:val="22"/>
              </w:rPr>
            </w:pPr>
            <w:r w:rsidRPr="003D3057">
              <w:rPr>
                <w:rFonts w:cs="Arial"/>
                <w:sz w:val="18"/>
                <w:szCs w:val="22"/>
              </w:rPr>
              <w:t>3</w:t>
            </w:r>
          </w:p>
        </w:tc>
      </w:tr>
    </w:tbl>
    <w:p w14:paraId="093A981A" w14:textId="77777777" w:rsidR="00833C18" w:rsidRPr="003D3057" w:rsidRDefault="00833C18" w:rsidP="00833C18">
      <w:pPr>
        <w:pStyle w:val="BodyTextIndent"/>
        <w:widowControl w:val="0"/>
        <w:spacing w:after="0"/>
        <w:ind w:left="0"/>
        <w:jc w:val="left"/>
        <w:rPr>
          <w:rFonts w:ascii="Arial" w:hAnsi="Arial" w:cs="Arial"/>
          <w:b/>
          <w:sz w:val="18"/>
          <w:szCs w:val="22"/>
        </w:rPr>
      </w:pPr>
    </w:p>
    <w:sectPr w:rsidR="00833C18" w:rsidRPr="003D3057" w:rsidSect="00353E3F">
      <w:headerReference w:type="even" r:id="rId8"/>
      <w:footerReference w:type="default" r:id="rId9"/>
      <w:headerReference w:type="first" r:id="rId10"/>
      <w:footnotePr>
        <w:numFmt w:val="upperRoman"/>
        <w:numRestart w:val="eachPage"/>
      </w:footnotePr>
      <w:pgSz w:w="11906" w:h="16838" w:code="9"/>
      <w:pgMar w:top="720" w:right="720" w:bottom="720" w:left="72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790229" w:rsidRDefault="00790229">
      <w:r>
        <w:separator/>
      </w:r>
    </w:p>
    <w:p w14:paraId="7EA44BDB" w14:textId="77777777" w:rsidR="00790229" w:rsidRDefault="00790229"/>
    <w:p w14:paraId="7FFF11F5" w14:textId="77777777" w:rsidR="00790229" w:rsidRDefault="00790229" w:rsidP="00D178CC"/>
  </w:endnote>
  <w:endnote w:type="continuationSeparator" w:id="0">
    <w:p w14:paraId="595F2B2D" w14:textId="77777777" w:rsidR="00790229" w:rsidRDefault="00790229">
      <w:r>
        <w:continuationSeparator/>
      </w:r>
    </w:p>
    <w:p w14:paraId="3308347E" w14:textId="77777777" w:rsidR="00790229" w:rsidRDefault="00790229"/>
    <w:p w14:paraId="5CD282C3" w14:textId="77777777" w:rsidR="00790229" w:rsidRDefault="00790229"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790229" w:rsidRPr="007E7523" w:rsidRDefault="00790229">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790229" w:rsidRPr="00AF1FE3" w:rsidRDefault="00790229" w:rsidP="00AF1FE3">
      <w:pPr>
        <w:pStyle w:val="FootnoteSeparator"/>
      </w:pPr>
    </w:p>
  </w:footnote>
  <w:footnote w:type="continuationSeparator" w:id="0">
    <w:p w14:paraId="4149B990" w14:textId="77777777" w:rsidR="00790229" w:rsidRDefault="00790229" w:rsidP="00D178CC"/>
    <w:p w14:paraId="4460A061" w14:textId="77777777" w:rsidR="00790229" w:rsidRDefault="00790229"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5839F3CF" w:rsidR="00790229" w:rsidRPr="004E65DA" w:rsidRDefault="00790229"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77777777" w:rsidR="00790229" w:rsidRPr="003A0E54" w:rsidRDefault="00790229"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7"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9"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4"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2"/>
  </w:num>
  <w:num w:numId="4">
    <w:abstractNumId w:val="3"/>
  </w:num>
  <w:num w:numId="5">
    <w:abstractNumId w:val="8"/>
  </w:num>
  <w:num w:numId="6">
    <w:abstractNumId w:val="12"/>
  </w:num>
  <w:num w:numId="7">
    <w:abstractNumId w:val="23"/>
  </w:num>
  <w:num w:numId="8">
    <w:abstractNumId w:val="16"/>
  </w:num>
  <w:num w:numId="9">
    <w:abstractNumId w:val="18"/>
  </w:num>
  <w:num w:numId="10">
    <w:abstractNumId w:val="1"/>
  </w:num>
  <w:num w:numId="11">
    <w:abstractNumId w:val="6"/>
  </w:num>
  <w:num w:numId="12">
    <w:abstractNumId w:val="11"/>
  </w:num>
  <w:num w:numId="13">
    <w:abstractNumId w:val="27"/>
  </w:num>
  <w:num w:numId="14">
    <w:abstractNumId w:val="4"/>
  </w:num>
  <w:num w:numId="15">
    <w:abstractNumId w:val="24"/>
  </w:num>
  <w:num w:numId="16">
    <w:abstractNumId w:val="17"/>
  </w:num>
  <w:num w:numId="17">
    <w:abstractNumId w:val="21"/>
  </w:num>
  <w:num w:numId="18">
    <w:abstractNumId w:val="7"/>
  </w:num>
  <w:num w:numId="19">
    <w:abstractNumId w:val="14"/>
  </w:num>
  <w:num w:numId="20">
    <w:abstractNumId w:val="20"/>
  </w:num>
  <w:num w:numId="21">
    <w:abstractNumId w:val="2"/>
  </w:num>
  <w:num w:numId="22">
    <w:abstractNumId w:val="15"/>
  </w:num>
  <w:num w:numId="23">
    <w:abstractNumId w:val="13"/>
  </w:num>
  <w:num w:numId="24">
    <w:abstractNumId w:val="19"/>
  </w:num>
  <w:num w:numId="25">
    <w:abstractNumId w:val="10"/>
  </w:num>
  <w:num w:numId="26">
    <w:abstractNumId w:val="25"/>
  </w:num>
  <w:num w:numId="27">
    <w:abstractNumId w:val="9"/>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E91"/>
    <w:rsid w:val="00021070"/>
    <w:rsid w:val="00022322"/>
    <w:rsid w:val="00023C2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6FF9"/>
    <w:rsid w:val="0020703D"/>
    <w:rsid w:val="0021040E"/>
    <w:rsid w:val="00210EA8"/>
    <w:rsid w:val="002120CF"/>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A04"/>
    <w:rsid w:val="00282E9C"/>
    <w:rsid w:val="0028528C"/>
    <w:rsid w:val="0029284C"/>
    <w:rsid w:val="00292F0B"/>
    <w:rsid w:val="002934D6"/>
    <w:rsid w:val="00293F6D"/>
    <w:rsid w:val="00296661"/>
    <w:rsid w:val="00296D39"/>
    <w:rsid w:val="00297EA8"/>
    <w:rsid w:val="002A06C1"/>
    <w:rsid w:val="002A193D"/>
    <w:rsid w:val="002A2DF9"/>
    <w:rsid w:val="002A333C"/>
    <w:rsid w:val="002A3696"/>
    <w:rsid w:val="002A3F2F"/>
    <w:rsid w:val="002A47CA"/>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4FE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F47"/>
    <w:rsid w:val="00731298"/>
    <w:rsid w:val="0073176F"/>
    <w:rsid w:val="007325C1"/>
    <w:rsid w:val="007325E6"/>
    <w:rsid w:val="00732726"/>
    <w:rsid w:val="00732D7D"/>
    <w:rsid w:val="007343C4"/>
    <w:rsid w:val="00734861"/>
    <w:rsid w:val="00734D76"/>
    <w:rsid w:val="0073561A"/>
    <w:rsid w:val="00735EBF"/>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229"/>
    <w:rsid w:val="00790FFC"/>
    <w:rsid w:val="00791468"/>
    <w:rsid w:val="00791FE6"/>
    <w:rsid w:val="00792CCC"/>
    <w:rsid w:val="00793D22"/>
    <w:rsid w:val="0079404E"/>
    <w:rsid w:val="00794853"/>
    <w:rsid w:val="00797665"/>
    <w:rsid w:val="0079775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462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6035"/>
    <w:rsid w:val="00907CEA"/>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50836"/>
    <w:rsid w:val="0095253C"/>
    <w:rsid w:val="00953ACF"/>
    <w:rsid w:val="009546A2"/>
    <w:rsid w:val="009557FA"/>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454"/>
    <w:rsid w:val="00975AFB"/>
    <w:rsid w:val="00976E86"/>
    <w:rsid w:val="009775B8"/>
    <w:rsid w:val="00977861"/>
    <w:rsid w:val="00977C00"/>
    <w:rsid w:val="009808CE"/>
    <w:rsid w:val="0098228B"/>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27C4B"/>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63D0"/>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919"/>
    <w:rsid w:val="00CA4B7C"/>
    <w:rsid w:val="00CA4D73"/>
    <w:rsid w:val="00CA5412"/>
    <w:rsid w:val="00CA5E1D"/>
    <w:rsid w:val="00CB02BE"/>
    <w:rsid w:val="00CB1C77"/>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27AC"/>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3B66"/>
    <w:rsid w:val="00D951A5"/>
    <w:rsid w:val="00D95E62"/>
    <w:rsid w:val="00DA0986"/>
    <w:rsid w:val="00DA19EC"/>
    <w:rsid w:val="00DA1CA4"/>
    <w:rsid w:val="00DA1DAB"/>
    <w:rsid w:val="00DA4DFC"/>
    <w:rsid w:val="00DA68E0"/>
    <w:rsid w:val="00DB0B66"/>
    <w:rsid w:val="00DB0EAF"/>
    <w:rsid w:val="00DB0F5C"/>
    <w:rsid w:val="00DB23F3"/>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501"/>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614F"/>
    <w:rsid w:val="00F87DC5"/>
    <w:rsid w:val="00F90966"/>
    <w:rsid w:val="00F9137B"/>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2BF1"/>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42</TotalTime>
  <Pages>1</Pages>
  <Words>594</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3738</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9</cp:revision>
  <cp:lastPrinted>2018-05-29T09:22:00Z</cp:lastPrinted>
  <dcterms:created xsi:type="dcterms:W3CDTF">2018-07-19T09:25:00Z</dcterms:created>
  <dcterms:modified xsi:type="dcterms:W3CDTF">2018-09-26T09:22:00Z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