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9B2AA4" w:rsidP="00841D78">
      <w:pPr>
        <w:pStyle w:val="NoSpacing"/>
        <w:jc w:val="center"/>
        <w:rPr>
          <w:b/>
          <w:sz w:val="32"/>
          <w:szCs w:val="32"/>
        </w:rPr>
      </w:pPr>
      <w:r>
        <w:rPr>
          <w:b/>
          <w:sz w:val="32"/>
          <w:szCs w:val="32"/>
        </w:rPr>
        <w:t xml:space="preserve"> </w:t>
      </w:r>
      <w:r w:rsidR="00F078E7">
        <w:rPr>
          <w:b/>
          <w:sz w:val="32"/>
          <w:szCs w:val="32"/>
        </w:rPr>
        <w:t>Procurement and Supplier Relationship Manager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5A526D">
        <w:rPr>
          <w:b/>
        </w:rPr>
        <w:t>42,000.00-£47,000.00</w:t>
      </w:r>
      <w:r w:rsidR="00C916BE">
        <w:rPr>
          <w:b/>
        </w:rPr>
        <w:t xml:space="preserve"> p.a.</w:t>
      </w:r>
      <w:r w:rsidR="00F42055">
        <w:rPr>
          <w:b/>
        </w:rPr>
        <w:t xml:space="preserve"> </w:t>
      </w:r>
      <w:r w:rsidR="00576394">
        <w:rPr>
          <w:b/>
        </w:rPr>
        <w:t>depending on experience</w:t>
      </w:r>
    </w:p>
    <w:p w:rsidR="00DF52A1" w:rsidRPr="00987BDE" w:rsidRDefault="00C916BE" w:rsidP="00987BDE">
      <w:pPr>
        <w:pStyle w:val="NoSpacing"/>
        <w:jc w:val="center"/>
        <w:rPr>
          <w:rFonts w:cstheme="minorHAnsi"/>
          <w:b/>
        </w:rPr>
      </w:pPr>
      <w:r>
        <w:rPr>
          <w:b/>
        </w:rPr>
        <w:t>Permanent Position</w:t>
      </w:r>
      <w:r w:rsidR="00DF52A1">
        <w:rPr>
          <w:b/>
        </w:rPr>
        <w:t>- 35 hours per week</w:t>
      </w:r>
    </w:p>
    <w:p w:rsidR="00251A1D" w:rsidRDefault="00251A1D" w:rsidP="00D3544D">
      <w:pPr>
        <w:pStyle w:val="NoSpacing"/>
        <w:jc w:val="both"/>
      </w:pPr>
    </w:p>
    <w:p w:rsidR="00BF09F4" w:rsidRDefault="00BF09F4" w:rsidP="00BF09F4">
      <w:pPr>
        <w:jc w:val="both"/>
        <w:rPr>
          <w:i/>
        </w:rPr>
      </w:pPr>
      <w:r w:rsidRPr="00B13527">
        <w:rPr>
          <w:i/>
        </w:rPr>
        <w:t xml:space="preserve">The award-winning Association for Project Management (APM) is the Chartered body for the project profession. APM is a registered </w:t>
      </w:r>
      <w:r>
        <w:rPr>
          <w:i/>
        </w:rPr>
        <w:t>educational charity with over 27,000 individual and 600</w:t>
      </w:r>
      <w:r w:rsidRPr="00B13527">
        <w:rPr>
          <w:i/>
        </w:rPr>
        <w:t xml:space="preserve">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B13527" w:rsidDel="00761949">
        <w:rPr>
          <w:i/>
        </w:rPr>
        <w:t xml:space="preserve"> </w:t>
      </w:r>
    </w:p>
    <w:p w:rsidR="00F61668" w:rsidRDefault="00BF09F4" w:rsidP="005A526D">
      <w:r w:rsidRPr="00F61668">
        <w:t>A</w:t>
      </w:r>
      <w:r w:rsidR="00196A64" w:rsidRPr="00F61668">
        <w:t>n exciting</w:t>
      </w:r>
      <w:r w:rsidR="005A526D" w:rsidRPr="00F61668">
        <w:t xml:space="preserve"> new</w:t>
      </w:r>
      <w:r w:rsidR="00196A64" w:rsidRPr="00F61668">
        <w:t xml:space="preserve"> </w:t>
      </w:r>
      <w:r w:rsidRPr="00F61668">
        <w:t>opportunity</w:t>
      </w:r>
      <w:r w:rsidR="00196A64" w:rsidRPr="00F61668">
        <w:t xml:space="preserve"> </w:t>
      </w:r>
      <w:r w:rsidR="005A526D" w:rsidRPr="00F61668">
        <w:t>has arisen in our Finance department for a Procure</w:t>
      </w:r>
      <w:r w:rsidR="00F61668">
        <w:t>ment and Supplier Relationship M</w:t>
      </w:r>
      <w:r w:rsidR="005A526D" w:rsidRPr="00F61668">
        <w:t>anager reporting directly to</w:t>
      </w:r>
      <w:r w:rsidR="00F61668">
        <w:t xml:space="preserve"> the Head of Finance.</w:t>
      </w:r>
    </w:p>
    <w:p w:rsidR="005A526D" w:rsidRPr="00F61668" w:rsidRDefault="005A526D" w:rsidP="005A526D">
      <w:pPr>
        <w:rPr>
          <w:rFonts w:cs="Arial"/>
        </w:rPr>
      </w:pPr>
      <w:r w:rsidRPr="00F61668">
        <w:t xml:space="preserve">The successful candidate will have </w:t>
      </w:r>
      <w:r w:rsidRPr="00F61668">
        <w:rPr>
          <w:rFonts w:cs="Arial"/>
        </w:rPr>
        <w:t>responsibility for planning and implementing innovative procurement solutions. The role involves preparing invitations to tender, request for purchase, request for quote</w:t>
      </w:r>
      <w:r w:rsidR="00F61668">
        <w:rPr>
          <w:rFonts w:cs="Arial"/>
        </w:rPr>
        <w:t>s</w:t>
      </w:r>
      <w:r w:rsidRPr="00F61668">
        <w:rPr>
          <w:rFonts w:cs="Arial"/>
        </w:rPr>
        <w:t xml:space="preserve"> and</w:t>
      </w:r>
      <w:r w:rsidR="00F61668">
        <w:rPr>
          <w:rFonts w:cs="Arial"/>
        </w:rPr>
        <w:t xml:space="preserve"> will </w:t>
      </w:r>
      <w:r w:rsidRPr="00F61668">
        <w:rPr>
          <w:rFonts w:cs="Arial"/>
        </w:rPr>
        <w:t xml:space="preserve">engage directly in contract negotiations with suppliers seeking to improve pricing and terms of business. </w:t>
      </w:r>
      <w:r w:rsidR="00F76EB7">
        <w:rPr>
          <w:rFonts w:cs="Arial"/>
        </w:rPr>
        <w:t xml:space="preserve"> The ability to discuss an issue with multiple stakeholders</w:t>
      </w:r>
      <w:bookmarkStart w:id="0" w:name="_GoBack"/>
      <w:bookmarkEnd w:id="0"/>
      <w:r w:rsidR="00F76EB7">
        <w:rPr>
          <w:rFonts w:cs="Arial"/>
        </w:rPr>
        <w:t xml:space="preserve"> to determine ways to reach an agreement and mutual satisfaction is an essential skill for this role.</w:t>
      </w:r>
    </w:p>
    <w:p w:rsidR="005A526D" w:rsidRPr="00F61668" w:rsidRDefault="00F61668" w:rsidP="005A526D">
      <w:pPr>
        <w:rPr>
          <w:rFonts w:cs="Arial"/>
        </w:rPr>
      </w:pPr>
      <w:r>
        <w:rPr>
          <w:rFonts w:cs="Arial"/>
        </w:rPr>
        <w:t>The role holder will be r</w:t>
      </w:r>
      <w:r w:rsidR="005A526D" w:rsidRPr="00F61668">
        <w:rPr>
          <w:rFonts w:cs="Arial"/>
        </w:rPr>
        <w:t>esponsible for issuing purchase orders and</w:t>
      </w:r>
      <w:r>
        <w:rPr>
          <w:rFonts w:cs="Arial"/>
        </w:rPr>
        <w:t xml:space="preserve"> will</w:t>
      </w:r>
      <w:r w:rsidR="005A526D" w:rsidRPr="00F61668">
        <w:rPr>
          <w:rFonts w:cs="Arial"/>
        </w:rPr>
        <w:t xml:space="preserve"> track delivery of projects through milestones to completion. </w:t>
      </w:r>
      <w:r>
        <w:rPr>
          <w:rFonts w:cs="Arial"/>
        </w:rPr>
        <w:t>To a</w:t>
      </w:r>
      <w:r w:rsidR="005A526D" w:rsidRPr="00F61668">
        <w:rPr>
          <w:rFonts w:cs="Arial"/>
        </w:rPr>
        <w:t xml:space="preserve">ssess and evaluate suppliers and contribute to performance reviews </w:t>
      </w:r>
      <w:r>
        <w:rPr>
          <w:rFonts w:cs="Arial"/>
        </w:rPr>
        <w:t xml:space="preserve">to ensure contract </w:t>
      </w:r>
      <w:r w:rsidR="00BB2076">
        <w:rPr>
          <w:rFonts w:cs="Arial"/>
        </w:rPr>
        <w:t>compliance and</w:t>
      </w:r>
      <w:r>
        <w:rPr>
          <w:rFonts w:cs="Arial"/>
        </w:rPr>
        <w:t xml:space="preserve"> p</w:t>
      </w:r>
      <w:r w:rsidR="005A526D" w:rsidRPr="00F61668">
        <w:rPr>
          <w:rFonts w:cs="Arial"/>
        </w:rPr>
        <w:t xml:space="preserve">rovide detailed analysis on costs and ensure savings are identified, appropriately captured and tracked. </w:t>
      </w:r>
    </w:p>
    <w:p w:rsidR="00F61668" w:rsidRPr="00F61668" w:rsidRDefault="00F61668" w:rsidP="00F61668">
      <w:pPr>
        <w:rPr>
          <w:b/>
        </w:rPr>
      </w:pPr>
      <w:r w:rsidRPr="00F61668">
        <w:rPr>
          <w:b/>
        </w:rPr>
        <w:t>Experience required</w:t>
      </w:r>
    </w:p>
    <w:p w:rsidR="00F61668" w:rsidRPr="00F61668" w:rsidRDefault="00F61668" w:rsidP="00F61668">
      <w:pPr>
        <w:pStyle w:val="ListParagraph"/>
        <w:numPr>
          <w:ilvl w:val="0"/>
          <w:numId w:val="28"/>
        </w:numPr>
        <w:rPr>
          <w:rFonts w:asciiTheme="minorHAnsi" w:hAnsiTheme="minorHAnsi"/>
        </w:rPr>
      </w:pPr>
      <w:r w:rsidRPr="00F61668">
        <w:rPr>
          <w:rFonts w:asciiTheme="minorHAnsi" w:hAnsiTheme="minorHAnsi"/>
        </w:rPr>
        <w:t>Demonstrable experience of identifying and implementing cost saving procedures in the procurement and supplier relationship management without sacrificing quality.</w:t>
      </w:r>
    </w:p>
    <w:p w:rsidR="00F61668" w:rsidRPr="00F61668" w:rsidRDefault="00F61668" w:rsidP="00F61668">
      <w:pPr>
        <w:rPr>
          <w:b/>
        </w:rPr>
      </w:pPr>
      <w:r w:rsidRPr="00F61668">
        <w:rPr>
          <w:b/>
        </w:rPr>
        <w:t>Knowledge required</w:t>
      </w:r>
    </w:p>
    <w:p w:rsidR="00F61668" w:rsidRPr="00F61668" w:rsidRDefault="00F61668" w:rsidP="00F61668">
      <w:pPr>
        <w:pStyle w:val="ListParagraph"/>
        <w:numPr>
          <w:ilvl w:val="0"/>
          <w:numId w:val="28"/>
        </w:numPr>
        <w:rPr>
          <w:rFonts w:asciiTheme="minorHAnsi" w:hAnsiTheme="minorHAnsi"/>
        </w:rPr>
      </w:pPr>
      <w:r w:rsidRPr="00F61668">
        <w:rPr>
          <w:rFonts w:asciiTheme="minorHAnsi" w:hAnsiTheme="minorHAnsi"/>
        </w:rPr>
        <w:t xml:space="preserve">Full working knowledge of end to end modern procurement cycle, including </w:t>
      </w:r>
      <w:proofErr w:type="spellStart"/>
      <w:r w:rsidRPr="00F61668">
        <w:rPr>
          <w:rFonts w:asciiTheme="minorHAnsi" w:hAnsiTheme="minorHAnsi"/>
        </w:rPr>
        <w:t>eSourcing</w:t>
      </w:r>
      <w:proofErr w:type="spellEnd"/>
      <w:r w:rsidRPr="00F61668">
        <w:rPr>
          <w:rFonts w:asciiTheme="minorHAnsi" w:hAnsiTheme="minorHAnsi"/>
        </w:rPr>
        <w:t>.</w:t>
      </w:r>
    </w:p>
    <w:p w:rsidR="00F61668" w:rsidRPr="00F61668" w:rsidRDefault="00F61668" w:rsidP="00F61668">
      <w:pPr>
        <w:rPr>
          <w:b/>
        </w:rPr>
      </w:pPr>
      <w:r w:rsidRPr="00F61668">
        <w:rPr>
          <w:b/>
        </w:rPr>
        <w:t>Skills required</w:t>
      </w:r>
    </w:p>
    <w:p w:rsidR="00F61668" w:rsidRPr="00F61668" w:rsidRDefault="00F61668" w:rsidP="00F61668">
      <w:pPr>
        <w:pStyle w:val="ListParagraph"/>
        <w:numPr>
          <w:ilvl w:val="0"/>
          <w:numId w:val="28"/>
        </w:numPr>
        <w:rPr>
          <w:rFonts w:asciiTheme="minorHAnsi" w:hAnsiTheme="minorHAnsi"/>
        </w:rPr>
      </w:pPr>
      <w:r w:rsidRPr="00F61668">
        <w:rPr>
          <w:rFonts w:asciiTheme="minorHAnsi" w:hAnsiTheme="minorHAnsi"/>
        </w:rPr>
        <w:t>Strong strategic sourcing and project management skills.</w:t>
      </w:r>
    </w:p>
    <w:p w:rsidR="005A526D" w:rsidRPr="00F61668" w:rsidRDefault="00F61668" w:rsidP="00F61668">
      <w:pPr>
        <w:pStyle w:val="ListParagraph"/>
        <w:numPr>
          <w:ilvl w:val="0"/>
          <w:numId w:val="28"/>
        </w:numPr>
        <w:rPr>
          <w:rFonts w:asciiTheme="minorHAnsi" w:hAnsiTheme="minorHAnsi"/>
        </w:rPr>
      </w:pPr>
      <w:r w:rsidRPr="00F61668">
        <w:rPr>
          <w:rFonts w:asciiTheme="minorHAnsi" w:hAnsiTheme="minorHAnsi"/>
        </w:rPr>
        <w:t>Strong analytical skills and relationship management skills</w:t>
      </w:r>
    </w:p>
    <w:p w:rsidR="00F61668" w:rsidRDefault="00F61668" w:rsidP="00F61668">
      <w:pPr>
        <w:pStyle w:val="ListParagraph"/>
        <w:numPr>
          <w:ilvl w:val="0"/>
          <w:numId w:val="28"/>
        </w:numPr>
        <w:rPr>
          <w:rFonts w:asciiTheme="minorHAnsi" w:hAnsiTheme="minorHAnsi"/>
        </w:rPr>
      </w:pPr>
      <w:r w:rsidRPr="00F61668">
        <w:rPr>
          <w:rFonts w:asciiTheme="minorHAnsi" w:hAnsiTheme="minorHAnsi"/>
        </w:rPr>
        <w:t>Ability to understand and manage risks in the supply chain.</w:t>
      </w:r>
    </w:p>
    <w:p w:rsidR="006A2FCF" w:rsidRPr="00F61668" w:rsidRDefault="006A2FCF" w:rsidP="00F61668">
      <w:pPr>
        <w:pStyle w:val="ListParagraph"/>
        <w:numPr>
          <w:ilvl w:val="0"/>
          <w:numId w:val="28"/>
        </w:numPr>
        <w:rPr>
          <w:rFonts w:asciiTheme="minorHAnsi" w:hAnsiTheme="minorHAnsi"/>
        </w:rPr>
      </w:pPr>
      <w:r>
        <w:rPr>
          <w:rFonts w:asciiTheme="minorHAnsi" w:hAnsiTheme="minorHAnsi"/>
        </w:rPr>
        <w:t>Influencing skills</w:t>
      </w:r>
    </w:p>
    <w:p w:rsidR="00F61668" w:rsidRDefault="00F61668" w:rsidP="00F61668"/>
    <w:p w:rsidR="00F61668" w:rsidRPr="00F61668" w:rsidRDefault="00F61668" w:rsidP="00F61668"/>
    <w:p w:rsidR="005A526D" w:rsidRDefault="005A526D" w:rsidP="005A526D">
      <w:pPr>
        <w:rPr>
          <w:rFonts w:cs="Arial"/>
        </w:rPr>
      </w:pPr>
    </w:p>
    <w:p w:rsidR="00F61668" w:rsidRPr="00F61668" w:rsidRDefault="00F61668" w:rsidP="005A526D">
      <w:pPr>
        <w:rPr>
          <w:rFonts w:cs="Arial"/>
        </w:rPr>
      </w:pPr>
    </w:p>
    <w:p w:rsidR="000A019A" w:rsidRPr="00B13527" w:rsidRDefault="000A019A" w:rsidP="000A019A">
      <w:pPr>
        <w:pStyle w:val="Default"/>
        <w:rPr>
          <w:rFonts w:asciiTheme="minorHAnsi" w:hAnsiTheme="minorHAnsi"/>
        </w:rPr>
      </w:pPr>
      <w:r w:rsidRPr="00B13527">
        <w:rPr>
          <w:rFonts w:asciiTheme="minorHAnsi" w:hAnsiTheme="minorHAnsi" w:cs="Times New Roman"/>
          <w:i/>
          <w:iCs/>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expertise for the 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5A526D">
        <w:rPr>
          <w:b/>
        </w:rPr>
        <w:t>30th</w:t>
      </w:r>
      <w:r w:rsidR="00BF09F4">
        <w:rPr>
          <w:b/>
        </w:rPr>
        <w:t xml:space="preserve"> January 2019.</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6D" w:rsidRDefault="005A526D" w:rsidP="00752D7B">
      <w:pPr>
        <w:spacing w:after="0" w:line="240" w:lineRule="auto"/>
      </w:pPr>
      <w:r>
        <w:separator/>
      </w:r>
    </w:p>
  </w:endnote>
  <w:endnote w:type="continuationSeparator" w:id="0">
    <w:p w:rsidR="005A526D" w:rsidRDefault="005A526D"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6D" w:rsidRDefault="005A526D" w:rsidP="00752D7B">
      <w:pPr>
        <w:spacing w:after="0" w:line="240" w:lineRule="auto"/>
      </w:pPr>
      <w:r>
        <w:separator/>
      </w:r>
    </w:p>
  </w:footnote>
  <w:footnote w:type="continuationSeparator" w:id="0">
    <w:p w:rsidR="005A526D" w:rsidRDefault="005A526D"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6D" w:rsidRDefault="005A526D"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7"/>
  </w:num>
  <w:num w:numId="3">
    <w:abstractNumId w:val="15"/>
  </w:num>
  <w:num w:numId="4">
    <w:abstractNumId w:val="23"/>
  </w:num>
  <w:num w:numId="5">
    <w:abstractNumId w:val="18"/>
  </w:num>
  <w:num w:numId="6">
    <w:abstractNumId w:val="4"/>
  </w:num>
  <w:num w:numId="7">
    <w:abstractNumId w:val="0"/>
  </w:num>
  <w:num w:numId="8">
    <w:abstractNumId w:val="13"/>
  </w:num>
  <w:num w:numId="9">
    <w:abstractNumId w:val="25"/>
  </w:num>
  <w:num w:numId="10">
    <w:abstractNumId w:val="5"/>
  </w:num>
  <w:num w:numId="11">
    <w:abstractNumId w:val="19"/>
  </w:num>
  <w:num w:numId="12">
    <w:abstractNumId w:val="20"/>
  </w:num>
  <w:num w:numId="13">
    <w:abstractNumId w:val="11"/>
  </w:num>
  <w:num w:numId="14">
    <w:abstractNumId w:val="26"/>
  </w:num>
  <w:num w:numId="15">
    <w:abstractNumId w:val="12"/>
  </w:num>
  <w:num w:numId="16">
    <w:abstractNumId w:val="6"/>
  </w:num>
  <w:num w:numId="17">
    <w:abstractNumId w:val="9"/>
  </w:num>
  <w:num w:numId="18">
    <w:abstractNumId w:val="24"/>
  </w:num>
  <w:num w:numId="19">
    <w:abstractNumId w:val="8"/>
  </w:num>
  <w:num w:numId="20">
    <w:abstractNumId w:val="19"/>
  </w:num>
  <w:num w:numId="21">
    <w:abstractNumId w:val="16"/>
  </w:num>
  <w:num w:numId="22">
    <w:abstractNumId w:val="10"/>
  </w:num>
  <w:num w:numId="23">
    <w:abstractNumId w:val="22"/>
  </w:num>
  <w:num w:numId="24">
    <w:abstractNumId w:val="7"/>
  </w:num>
  <w:num w:numId="25">
    <w:abstractNumId w:val="3"/>
  </w:num>
  <w:num w:numId="26">
    <w:abstractNumId w:val="14"/>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019A"/>
    <w:rsid w:val="000A2A4B"/>
    <w:rsid w:val="000C5EBD"/>
    <w:rsid w:val="000D3A36"/>
    <w:rsid w:val="001730F6"/>
    <w:rsid w:val="00180E4B"/>
    <w:rsid w:val="00196A64"/>
    <w:rsid w:val="001C1B46"/>
    <w:rsid w:val="00225EB4"/>
    <w:rsid w:val="002411D1"/>
    <w:rsid w:val="00250669"/>
    <w:rsid w:val="00251A1D"/>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A526D"/>
    <w:rsid w:val="005C1582"/>
    <w:rsid w:val="00623EC9"/>
    <w:rsid w:val="00625A64"/>
    <w:rsid w:val="00687B0C"/>
    <w:rsid w:val="006A2FCF"/>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6173F"/>
    <w:rsid w:val="00C8524F"/>
    <w:rsid w:val="00C916BE"/>
    <w:rsid w:val="00CF5C9D"/>
    <w:rsid w:val="00D0140E"/>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067764"/>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2163-DF1D-4D8A-AD9D-A5283AE2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4D4A3746.dotm</Template>
  <TotalTime>3</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5</cp:revision>
  <cp:lastPrinted>2017-06-14T16:19:00Z</cp:lastPrinted>
  <dcterms:created xsi:type="dcterms:W3CDTF">2019-01-15T14:54:00Z</dcterms:created>
  <dcterms:modified xsi:type="dcterms:W3CDTF">2019-01-15T16:32:00Z</dcterms:modified>
</cp:coreProperties>
</file>