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Pr="008B21D5" w:rsidRDefault="00E05F3C" w:rsidP="00E05F3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21D5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644852" cy="654742"/>
            <wp:effectExtent l="19050" t="0" r="2848" b="0"/>
            <wp:docPr id="3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1" cy="6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67" w:rsidRDefault="00D03767" w:rsidP="00015D04">
      <w:pPr>
        <w:rPr>
          <w:rFonts w:ascii="Arial" w:hAnsi="Arial" w:cs="Arial"/>
          <w:b/>
          <w:sz w:val="28"/>
          <w:szCs w:val="28"/>
        </w:rPr>
      </w:pPr>
    </w:p>
    <w:p w:rsidR="00015D04" w:rsidRPr="00D03767" w:rsidRDefault="0023699A" w:rsidP="00015D04">
      <w:pPr>
        <w:rPr>
          <w:rFonts w:ascii="Arial" w:hAnsi="Arial" w:cs="Arial"/>
          <w:b/>
          <w:sz w:val="28"/>
          <w:szCs w:val="28"/>
        </w:rPr>
      </w:pPr>
      <w:r w:rsidRPr="00D03767">
        <w:rPr>
          <w:rFonts w:ascii="Arial" w:hAnsi="Arial" w:cs="Arial"/>
          <w:b/>
          <w:sz w:val="28"/>
          <w:szCs w:val="28"/>
        </w:rPr>
        <w:t xml:space="preserve">Role </w:t>
      </w:r>
      <w:r w:rsidR="007C4103" w:rsidRPr="00D03767">
        <w:rPr>
          <w:rFonts w:ascii="Arial" w:hAnsi="Arial" w:cs="Arial"/>
          <w:b/>
          <w:sz w:val="28"/>
          <w:szCs w:val="28"/>
        </w:rPr>
        <w:t>Description</w:t>
      </w:r>
      <w:r w:rsidR="00190C9F" w:rsidRPr="00D03767">
        <w:rPr>
          <w:rFonts w:ascii="Arial" w:hAnsi="Arial" w:cs="Arial"/>
          <w:b/>
          <w:sz w:val="28"/>
          <w:szCs w:val="28"/>
        </w:rPr>
        <w:t xml:space="preserve"> </w:t>
      </w:r>
      <w:r w:rsidR="007D7CAA" w:rsidRPr="00D03767">
        <w:rPr>
          <w:rFonts w:ascii="Arial" w:hAnsi="Arial" w:cs="Arial"/>
          <w:b/>
          <w:sz w:val="28"/>
          <w:szCs w:val="28"/>
        </w:rPr>
        <w:t>–</w:t>
      </w:r>
      <w:r w:rsidR="005E768B" w:rsidRPr="00D03767">
        <w:rPr>
          <w:rFonts w:ascii="Arial" w:hAnsi="Arial" w:cs="Arial"/>
          <w:b/>
          <w:sz w:val="28"/>
          <w:szCs w:val="28"/>
        </w:rPr>
        <w:t xml:space="preserve"> </w:t>
      </w:r>
      <w:r w:rsidR="00CA67EE">
        <w:rPr>
          <w:rFonts w:ascii="Arial" w:hAnsi="Arial" w:cs="Arial"/>
          <w:b/>
          <w:sz w:val="28"/>
          <w:szCs w:val="28"/>
        </w:rPr>
        <w:t>E</w:t>
      </w:r>
      <w:r w:rsidR="00854421">
        <w:rPr>
          <w:rFonts w:ascii="Arial" w:hAnsi="Arial" w:cs="Arial"/>
          <w:b/>
          <w:sz w:val="28"/>
          <w:szCs w:val="28"/>
        </w:rPr>
        <w:t>ngagement Co-ordinator</w:t>
      </w:r>
    </w:p>
    <w:p w:rsidR="00E05F3C" w:rsidRPr="008B21D5" w:rsidRDefault="00E05F3C" w:rsidP="00015D0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268"/>
        <w:gridCol w:w="827"/>
        <w:gridCol w:w="874"/>
        <w:gridCol w:w="1276"/>
        <w:gridCol w:w="2115"/>
      </w:tblGrid>
      <w:tr w:rsidR="00ED7165" w:rsidRPr="008B21D5" w:rsidTr="00D555AC">
        <w:tc>
          <w:tcPr>
            <w:tcW w:w="1996" w:type="dxa"/>
            <w:shd w:val="clear" w:color="auto" w:fill="8D0F48"/>
            <w:vAlign w:val="center"/>
          </w:tcPr>
          <w:p w:rsidR="00ED7165" w:rsidRPr="008B21D5" w:rsidRDefault="00ED7165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Role title</w:t>
            </w:r>
          </w:p>
        </w:tc>
        <w:tc>
          <w:tcPr>
            <w:tcW w:w="2268" w:type="dxa"/>
            <w:vAlign w:val="center"/>
          </w:tcPr>
          <w:p w:rsidR="00ED7165" w:rsidRDefault="00DB3CF7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E7725">
              <w:rPr>
                <w:rFonts w:ascii="Arial" w:hAnsi="Arial" w:cs="Arial"/>
                <w:sz w:val="20"/>
                <w:szCs w:val="20"/>
              </w:rPr>
              <w:t>E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ngagement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54421">
              <w:rPr>
                <w:rFonts w:ascii="Arial" w:hAnsi="Arial" w:cs="Arial"/>
                <w:sz w:val="20"/>
                <w:szCs w:val="20"/>
              </w:rPr>
              <w:t>Co-Ordinator</w:t>
            </w:r>
          </w:p>
          <w:p w:rsidR="00595A91" w:rsidRPr="008B21D5" w:rsidRDefault="00595A91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8D0F48"/>
            <w:vAlign w:val="center"/>
          </w:tcPr>
          <w:p w:rsidR="00ED7165" w:rsidRPr="008B21D5" w:rsidRDefault="00ED7165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874" w:type="dxa"/>
            <w:vAlign w:val="center"/>
          </w:tcPr>
          <w:p w:rsidR="00ED7165" w:rsidRPr="008B21D5" w:rsidRDefault="00D555AC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54421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1276" w:type="dxa"/>
            <w:shd w:val="clear" w:color="auto" w:fill="8D0F48"/>
            <w:vAlign w:val="center"/>
          </w:tcPr>
          <w:p w:rsidR="00ED7165" w:rsidRPr="008B21D5" w:rsidRDefault="00ED7165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115" w:type="dxa"/>
            <w:vAlign w:val="center"/>
          </w:tcPr>
          <w:p w:rsidR="00ED7165" w:rsidRPr="008B21D5" w:rsidRDefault="00854421" w:rsidP="00531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and Lifelong Learning </w:t>
            </w:r>
          </w:p>
        </w:tc>
      </w:tr>
    </w:tbl>
    <w:tbl>
      <w:tblPr>
        <w:tblW w:w="936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96"/>
        <w:gridCol w:w="2257"/>
        <w:gridCol w:w="1694"/>
        <w:gridCol w:w="3413"/>
      </w:tblGrid>
      <w:tr w:rsidR="007A5191" w:rsidRPr="008B21D5" w:rsidTr="00D555AC">
        <w:tc>
          <w:tcPr>
            <w:tcW w:w="19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7A5191" w:rsidRPr="008B21D5" w:rsidRDefault="007A5191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Reports to </w:t>
            </w:r>
            <w:r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(1)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5191" w:rsidRPr="008B21D5" w:rsidRDefault="00854421" w:rsidP="000A01C0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Manager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993366"/>
          </w:tcPr>
          <w:p w:rsidR="007A5191" w:rsidRPr="008B21D5" w:rsidRDefault="007A5191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5191" w:rsidRPr="008B21D5" w:rsidRDefault="007A5191" w:rsidP="000A01C0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CBC" w:rsidRPr="008B21D5" w:rsidTr="00D555AC">
        <w:trPr>
          <w:trHeight w:val="425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8B21D5" w:rsidRDefault="00802CBC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Key relationships / interfaces </w:t>
            </w:r>
            <w:r w:rsidR="000D4D11"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</w:t>
            </w:r>
            <w:r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1)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88F" w:rsidRPr="008B21D5" w:rsidRDefault="008B21D5" w:rsidP="0085442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T</w:t>
            </w:r>
            <w:r w:rsidR="00531663" w:rsidRPr="008B21D5">
              <w:rPr>
                <w:rFonts w:ascii="Arial" w:hAnsi="Arial" w:cs="Arial"/>
                <w:sz w:val="20"/>
                <w:szCs w:val="20"/>
              </w:rPr>
              <w:t xml:space="preserve">he role holder will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work with multiple departments within </w:t>
            </w:r>
            <w:r w:rsidR="00531663" w:rsidRPr="008B21D5">
              <w:rPr>
                <w:rFonts w:ascii="Arial" w:hAnsi="Arial" w:cs="Arial"/>
                <w:sz w:val="20"/>
                <w:szCs w:val="20"/>
              </w:rPr>
              <w:t xml:space="preserve">APM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(marketing, membership, service delivery, external affairs as well as ELL) to support the education outreach, </w:t>
            </w:r>
            <w:r w:rsidR="00D20002">
              <w:rPr>
                <w:rFonts w:ascii="Arial" w:hAnsi="Arial" w:cs="Arial"/>
                <w:sz w:val="20"/>
                <w:szCs w:val="20"/>
              </w:rPr>
              <w:t>diversity &amp; inclusion (D&amp;I)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 and other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 APM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 engagement programmes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 as they develop</w:t>
            </w:r>
            <w:r w:rsidR="005E768B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="005E768B">
              <w:rPr>
                <w:rFonts w:ascii="Arial" w:hAnsi="Arial" w:cs="Arial"/>
                <w:sz w:val="20"/>
                <w:szCs w:val="20"/>
              </w:rPr>
              <w:t>holder</w:t>
            </w:r>
            <w:r w:rsidR="0079615B" w:rsidRPr="008B21D5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9518B9" w:rsidRPr="008B21D5">
              <w:rPr>
                <w:rFonts w:ascii="Arial" w:hAnsi="Arial" w:cs="Arial"/>
                <w:sz w:val="20"/>
                <w:szCs w:val="20"/>
              </w:rPr>
              <w:t>engage with a wide range of external stakeholders (</w:t>
            </w:r>
            <w:r w:rsidR="00D81B22">
              <w:rPr>
                <w:rFonts w:ascii="Arial" w:hAnsi="Arial" w:cs="Arial"/>
                <w:sz w:val="20"/>
                <w:szCs w:val="20"/>
              </w:rPr>
              <w:t>s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tudents, </w:t>
            </w:r>
            <w:r w:rsidR="00EE7725">
              <w:rPr>
                <w:rFonts w:ascii="Arial" w:hAnsi="Arial" w:cs="Arial"/>
                <w:sz w:val="20"/>
                <w:szCs w:val="20"/>
              </w:rPr>
              <w:t>careers services,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C">
              <w:rPr>
                <w:rFonts w:ascii="Arial" w:hAnsi="Arial" w:cs="Arial"/>
                <w:sz w:val="20"/>
                <w:szCs w:val="20"/>
              </w:rPr>
              <w:t>academics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18B9" w:rsidRPr="008B21D5">
              <w:rPr>
                <w:rFonts w:ascii="Arial" w:hAnsi="Arial" w:cs="Arial"/>
                <w:sz w:val="20"/>
                <w:szCs w:val="20"/>
              </w:rPr>
              <w:t>corporate</w:t>
            </w:r>
            <w:r w:rsidR="00854421">
              <w:rPr>
                <w:rFonts w:ascii="Arial" w:hAnsi="Arial" w:cs="Arial"/>
                <w:sz w:val="20"/>
                <w:szCs w:val="20"/>
              </w:rPr>
              <w:t>s</w:t>
            </w:r>
            <w:r w:rsidR="00EE77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third-sector organisations and </w:t>
            </w:r>
            <w:r w:rsidR="0079615B" w:rsidRPr="008B21D5">
              <w:rPr>
                <w:rFonts w:ascii="Arial" w:hAnsi="Arial" w:cs="Arial"/>
                <w:sz w:val="20"/>
                <w:szCs w:val="20"/>
              </w:rPr>
              <w:t>members</w:t>
            </w:r>
            <w:r w:rsidR="009518B9" w:rsidRPr="008B21D5">
              <w:rPr>
                <w:rFonts w:ascii="Arial" w:hAnsi="Arial" w:cs="Arial"/>
                <w:sz w:val="20"/>
                <w:szCs w:val="20"/>
              </w:rPr>
              <w:t>)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 predominantly in the UK</w:t>
            </w:r>
            <w:r w:rsidR="0079615B" w:rsidRPr="008B21D5">
              <w:rPr>
                <w:rFonts w:ascii="Arial" w:hAnsi="Arial" w:cs="Arial"/>
                <w:sz w:val="20"/>
                <w:szCs w:val="20"/>
              </w:rPr>
              <w:t>.</w:t>
            </w:r>
            <w:r w:rsidR="00ED588F" w:rsidRPr="008B21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CBC" w:rsidRPr="008B21D5" w:rsidTr="00D555AC">
        <w:trPr>
          <w:trHeight w:val="363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8B21D5" w:rsidRDefault="00802CBC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Role purpose </w:t>
            </w:r>
            <w:r w:rsidR="000D4D11"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</w:t>
            </w:r>
            <w:r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2)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323B9" w:rsidRPr="008B21D5" w:rsidRDefault="00531663" w:rsidP="00EE77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the successful delivery of </w:t>
            </w:r>
            <w:r w:rsidR="00E23ED5" w:rsidRPr="008B21D5">
              <w:rPr>
                <w:rFonts w:ascii="Arial" w:hAnsi="Arial" w:cs="Arial"/>
                <w:sz w:val="20"/>
                <w:szCs w:val="20"/>
              </w:rPr>
              <w:t>APM</w:t>
            </w:r>
            <w:r w:rsidR="00DE7B33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E23ED5" w:rsidRPr="008B21D5"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r w:rsidR="00DB3CF7">
              <w:rPr>
                <w:rFonts w:ascii="Arial" w:hAnsi="Arial" w:cs="Arial"/>
                <w:sz w:val="20"/>
                <w:szCs w:val="20"/>
              </w:rPr>
              <w:t>activity</w:t>
            </w:r>
            <w:r w:rsidR="004E3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D5" w:rsidRPr="008B21D5">
              <w:rPr>
                <w:rFonts w:ascii="Arial" w:hAnsi="Arial" w:cs="Arial"/>
                <w:sz w:val="20"/>
                <w:szCs w:val="20"/>
              </w:rPr>
              <w:t>with</w:t>
            </w:r>
            <w:r w:rsidR="008B21D5" w:rsidRPr="008B2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B3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8B21D5" w:rsidRPr="008B21D5">
              <w:rPr>
                <w:rFonts w:ascii="Arial" w:hAnsi="Arial" w:cs="Arial"/>
                <w:sz w:val="20"/>
                <w:szCs w:val="20"/>
              </w:rPr>
              <w:t>institutions</w:t>
            </w:r>
            <w:r w:rsidR="00DE7B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3ED5" w:rsidRPr="008B21D5">
              <w:rPr>
                <w:rFonts w:ascii="Arial" w:hAnsi="Arial" w:cs="Arial"/>
                <w:sz w:val="20"/>
                <w:szCs w:val="20"/>
              </w:rPr>
              <w:t>students</w:t>
            </w:r>
            <w:r w:rsidR="00DE7B3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23ED5" w:rsidRPr="008B2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employers, as well as supporting the 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successful implementation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of APM’s new D&amp;I </w:t>
            </w:r>
            <w:r w:rsidR="00F3615F">
              <w:rPr>
                <w:rFonts w:ascii="Arial" w:hAnsi="Arial" w:cs="Arial"/>
                <w:sz w:val="20"/>
                <w:szCs w:val="20"/>
              </w:rPr>
              <w:t xml:space="preserve">and lifelong learning </w:t>
            </w:r>
            <w:r w:rsidR="00854421">
              <w:rPr>
                <w:rFonts w:ascii="Arial" w:hAnsi="Arial" w:cs="Arial"/>
                <w:sz w:val="20"/>
                <w:szCs w:val="20"/>
              </w:rPr>
              <w:t>strategy to a wider audience.</w:t>
            </w:r>
            <w:r w:rsidR="00EE7725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e role </w:t>
            </w:r>
            <w:r w:rsidR="00EE7725">
              <w:rPr>
                <w:rFonts w:ascii="Arial" w:hAnsi="Arial" w:cs="Arial"/>
                <w:sz w:val="20"/>
                <w:szCs w:val="20"/>
              </w:rPr>
              <w:t xml:space="preserve">will also support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uptake </w:t>
            </w:r>
            <w:r w:rsidR="008B21D5" w:rsidRPr="008B21D5">
              <w:rPr>
                <w:rFonts w:ascii="Arial" w:hAnsi="Arial" w:cs="Arial"/>
                <w:sz w:val="20"/>
                <w:szCs w:val="20"/>
              </w:rPr>
              <w:t xml:space="preserve">of APM products and services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among </w:t>
            </w:r>
            <w:r w:rsidR="008B21D5" w:rsidRPr="008B21D5">
              <w:rPr>
                <w:rFonts w:ascii="Arial" w:hAnsi="Arial" w:cs="Arial"/>
                <w:sz w:val="20"/>
                <w:szCs w:val="20"/>
              </w:rPr>
              <w:t>the</w:t>
            </w:r>
            <w:r w:rsidR="008B21D5">
              <w:rPr>
                <w:rFonts w:ascii="Arial" w:hAnsi="Arial" w:cs="Arial"/>
                <w:sz w:val="20"/>
                <w:szCs w:val="20"/>
              </w:rPr>
              <w:t>s</w:t>
            </w:r>
            <w:r w:rsidR="008B21D5" w:rsidRPr="008B21D5">
              <w:rPr>
                <w:rFonts w:ascii="Arial" w:hAnsi="Arial" w:cs="Arial"/>
                <w:sz w:val="20"/>
                <w:szCs w:val="20"/>
              </w:rPr>
              <w:t>e groups</w:t>
            </w:r>
            <w:r w:rsidR="0026244D">
              <w:rPr>
                <w:rFonts w:ascii="Arial" w:hAnsi="Arial" w:cs="Arial"/>
                <w:sz w:val="20"/>
                <w:szCs w:val="20"/>
              </w:rPr>
              <w:t>.</w:t>
            </w:r>
            <w:r w:rsidR="00FE2CA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0272B" w:rsidRPr="008B21D5" w:rsidTr="00D555AC">
        <w:trPr>
          <w:trHeight w:val="439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8B21D5" w:rsidRDefault="00D0272B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Breadth of responsibility </w:t>
            </w:r>
            <w:r w:rsidR="000D4D11"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</w:t>
            </w:r>
            <w:r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3)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58E" w:rsidRPr="008B21D5" w:rsidRDefault="009518B9" w:rsidP="00ED58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Pr="008B21D5">
              <w:rPr>
                <w:rFonts w:ascii="Arial" w:hAnsi="Arial" w:cs="Arial"/>
                <w:sz w:val="20"/>
                <w:szCs w:val="20"/>
              </w:rPr>
              <w:t xml:space="preserve">holder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will support the Education Manager in </w:t>
            </w:r>
            <w:r w:rsidR="00757865">
              <w:rPr>
                <w:rFonts w:ascii="Arial" w:hAnsi="Arial" w:cs="Arial"/>
                <w:sz w:val="20"/>
                <w:szCs w:val="20"/>
              </w:rPr>
              <w:t>developing</w:t>
            </w:r>
            <w:r w:rsidR="00ED0BB5" w:rsidRPr="008B21D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D0BB5" w:rsidRPr="00FF146D">
              <w:rPr>
                <w:rFonts w:ascii="Arial" w:hAnsi="Arial" w:cs="Arial"/>
                <w:sz w:val="20"/>
                <w:szCs w:val="20"/>
              </w:rPr>
              <w:t xml:space="preserve">interface between APM and </w:t>
            </w:r>
            <w:r w:rsidR="00757865" w:rsidRPr="00FF146D">
              <w:rPr>
                <w:rFonts w:ascii="Arial" w:hAnsi="Arial" w:cs="Arial"/>
                <w:sz w:val="20"/>
                <w:szCs w:val="20"/>
              </w:rPr>
              <w:t>the education sector</w:t>
            </w:r>
            <w:r w:rsidR="00FF146D">
              <w:rPr>
                <w:rFonts w:ascii="Arial" w:hAnsi="Arial" w:cs="Arial"/>
                <w:sz w:val="20"/>
                <w:szCs w:val="20"/>
              </w:rPr>
              <w:t>,</w:t>
            </w:r>
            <w:r w:rsidR="00490E92">
              <w:rPr>
                <w:rFonts w:ascii="Arial" w:hAnsi="Arial" w:cs="Arial"/>
                <w:sz w:val="20"/>
                <w:szCs w:val="20"/>
              </w:rPr>
              <w:t xml:space="preserve"> and relevant stakeholder groups</w:t>
            </w:r>
            <w:r w:rsidR="0026244D">
              <w:rPr>
                <w:rFonts w:ascii="Arial" w:hAnsi="Arial" w:cs="Arial"/>
                <w:sz w:val="20"/>
                <w:szCs w:val="20"/>
              </w:rPr>
              <w:t>.</w:t>
            </w:r>
            <w:r w:rsidR="00FE2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421">
              <w:rPr>
                <w:rFonts w:ascii="Arial" w:hAnsi="Arial" w:cs="Arial"/>
                <w:sz w:val="20"/>
                <w:szCs w:val="20"/>
              </w:rPr>
              <w:t>The role will also involve working with APM’s members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54421">
              <w:rPr>
                <w:rFonts w:ascii="Arial" w:hAnsi="Arial" w:cs="Arial"/>
                <w:sz w:val="20"/>
                <w:szCs w:val="20"/>
              </w:rPr>
              <w:t xml:space="preserve">volunteers in supporting the rollout of the D&amp;I strategy. </w:t>
            </w:r>
          </w:p>
        </w:tc>
      </w:tr>
      <w:tr w:rsidR="00331B07" w:rsidRPr="008B21D5" w:rsidTr="00D555AC">
        <w:tc>
          <w:tcPr>
            <w:tcW w:w="1996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993366"/>
          </w:tcPr>
          <w:p w:rsidR="00331B07" w:rsidRPr="008B21D5" w:rsidRDefault="00331B07" w:rsidP="000A01C0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Dimensions and limits of authority </w:t>
            </w:r>
            <w:r w:rsidR="000D4D11"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</w:t>
            </w:r>
            <w:r w:rsidRPr="008B21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4)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331B07" w:rsidRDefault="00531663" w:rsidP="002420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To</w:t>
            </w:r>
            <w:r w:rsidR="00757865">
              <w:rPr>
                <w:rFonts w:ascii="Arial" w:hAnsi="Arial" w:cs="Arial"/>
                <w:sz w:val="20"/>
                <w:szCs w:val="20"/>
              </w:rPr>
              <w:t xml:space="preserve"> work within</w:t>
            </w:r>
            <w:r w:rsidRPr="008B21D5">
              <w:rPr>
                <w:rFonts w:ascii="Arial" w:hAnsi="Arial" w:cs="Arial"/>
                <w:sz w:val="20"/>
                <w:szCs w:val="20"/>
              </w:rPr>
              <w:t xml:space="preserve"> the agreed</w:t>
            </w:r>
            <w:r w:rsidR="00757865">
              <w:rPr>
                <w:rFonts w:ascii="Arial" w:hAnsi="Arial" w:cs="Arial"/>
                <w:sz w:val="20"/>
                <w:szCs w:val="20"/>
              </w:rPr>
              <w:t xml:space="preserve"> strategy,</w:t>
            </w:r>
            <w:r w:rsidRPr="008B21D5">
              <w:rPr>
                <w:rFonts w:ascii="Arial" w:hAnsi="Arial" w:cs="Arial"/>
                <w:sz w:val="20"/>
                <w:szCs w:val="20"/>
              </w:rPr>
              <w:t xml:space="preserve"> business plan and budgets for the activities. </w:t>
            </w:r>
          </w:p>
          <w:p w:rsidR="0026244D" w:rsidRPr="008B21D5" w:rsidRDefault="0026244D" w:rsidP="00EA270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042" w:rsidRPr="008B21D5" w:rsidRDefault="00242042" w:rsidP="000A01C0">
      <w:pPr>
        <w:spacing w:beforeLines="60" w:before="14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90"/>
      </w:tblGrid>
      <w:tr w:rsidR="000E0853" w:rsidRPr="008B21D5" w:rsidTr="00ED0BB5">
        <w:trPr>
          <w:trHeight w:val="207"/>
          <w:tblHeader/>
        </w:trPr>
        <w:tc>
          <w:tcPr>
            <w:tcW w:w="50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8B21D5" w:rsidRDefault="000E0853" w:rsidP="00D64BFF">
            <w:pPr>
              <w:spacing w:before="120" w:after="120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responsibilities / accountabilities </w:t>
            </w:r>
            <w:r w:rsidRPr="008B21D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(5)</w:t>
            </w:r>
          </w:p>
        </w:tc>
        <w:tc>
          <w:tcPr>
            <w:tcW w:w="429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8B21D5" w:rsidRDefault="000E0853" w:rsidP="00D64BF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performance measures </w:t>
            </w:r>
            <w:r w:rsidRPr="008B21D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(6)</w:t>
            </w:r>
          </w:p>
        </w:tc>
      </w:tr>
      <w:tr w:rsidR="0026244D" w:rsidRPr="008B21D5" w:rsidTr="00E23ED5">
        <w:tc>
          <w:tcPr>
            <w:tcW w:w="5070" w:type="dxa"/>
          </w:tcPr>
          <w:p w:rsidR="0046053F" w:rsidRDefault="0046053F" w:rsidP="004E3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B3CF7">
              <w:rPr>
                <w:rFonts w:ascii="Arial" w:hAnsi="Arial" w:cs="Arial"/>
                <w:sz w:val="20"/>
                <w:szCs w:val="20"/>
              </w:rPr>
              <w:t>support APM’s education and lifelong learning strategy</w:t>
            </w:r>
          </w:p>
          <w:p w:rsidR="00DB3CF7" w:rsidRDefault="00DB3CF7" w:rsidP="004605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6244D" w:rsidRPr="008B21D5" w:rsidRDefault="0026244D" w:rsidP="004E3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3615F">
              <w:rPr>
                <w:rFonts w:ascii="Arial" w:hAnsi="Arial" w:cs="Arial"/>
                <w:sz w:val="20"/>
                <w:szCs w:val="20"/>
              </w:rPr>
              <w:t xml:space="preserve">support the growth and credibility of </w:t>
            </w:r>
            <w:r w:rsidR="004E38B3">
              <w:rPr>
                <w:rFonts w:ascii="Arial" w:hAnsi="Arial" w:cs="Arial"/>
                <w:sz w:val="20"/>
                <w:szCs w:val="20"/>
              </w:rPr>
              <w:t>APM</w:t>
            </w:r>
            <w:r w:rsidR="00F3615F">
              <w:rPr>
                <w:rFonts w:ascii="Arial" w:hAnsi="Arial" w:cs="Arial"/>
                <w:sz w:val="20"/>
                <w:szCs w:val="20"/>
              </w:rPr>
              <w:t>’s</w:t>
            </w:r>
            <w:r w:rsidR="004E38B3">
              <w:rPr>
                <w:rFonts w:ascii="Arial" w:hAnsi="Arial" w:cs="Arial"/>
                <w:sz w:val="20"/>
                <w:szCs w:val="20"/>
              </w:rPr>
              <w:t xml:space="preserve"> programme of engagement with schools and </w:t>
            </w:r>
            <w:r w:rsidR="00F3615F">
              <w:rPr>
                <w:rFonts w:ascii="Arial" w:hAnsi="Arial" w:cs="Arial"/>
                <w:sz w:val="20"/>
                <w:szCs w:val="20"/>
              </w:rPr>
              <w:t>universities</w:t>
            </w:r>
          </w:p>
        </w:tc>
        <w:tc>
          <w:tcPr>
            <w:tcW w:w="4290" w:type="dxa"/>
          </w:tcPr>
          <w:p w:rsidR="00C01216" w:rsidRDefault="00DB3CF7" w:rsidP="00ED0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r w:rsidR="001D48B5">
              <w:rPr>
                <w:rFonts w:ascii="Arial" w:hAnsi="Arial" w:cs="Arial"/>
                <w:sz w:val="20"/>
                <w:szCs w:val="20"/>
              </w:rPr>
              <w:t xml:space="preserve">and organisation </w:t>
            </w:r>
            <w:r>
              <w:rPr>
                <w:rFonts w:ascii="Arial" w:hAnsi="Arial" w:cs="Arial"/>
                <w:sz w:val="20"/>
                <w:szCs w:val="20"/>
              </w:rPr>
              <w:t>of events to target sectors</w:t>
            </w:r>
          </w:p>
          <w:p w:rsidR="00C01216" w:rsidRDefault="00C01216" w:rsidP="00ED0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3CF7" w:rsidRDefault="00DB3CF7" w:rsidP="00DB3C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Creation of content </w:t>
            </w:r>
            <w:r w:rsidR="00D20002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</w:rPr>
              <w:t>for Student members</w:t>
            </w:r>
          </w:p>
          <w:p w:rsidR="00C01216" w:rsidRDefault="00C01216" w:rsidP="00ED0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01216" w:rsidRDefault="00DB3CF7" w:rsidP="000F12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into project management degrees in selected markets around the world</w:t>
            </w:r>
          </w:p>
        </w:tc>
      </w:tr>
      <w:tr w:rsidR="00F3615F" w:rsidRPr="008B21D5" w:rsidTr="00E23ED5">
        <w:tc>
          <w:tcPr>
            <w:tcW w:w="5070" w:type="dxa"/>
          </w:tcPr>
          <w:p w:rsidR="00F3615F" w:rsidRPr="004E38B3" w:rsidRDefault="00F3615F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APM’s Diversity &amp; Inclusion strategy </w:t>
            </w:r>
          </w:p>
        </w:tc>
        <w:tc>
          <w:tcPr>
            <w:tcW w:w="4290" w:type="dxa"/>
          </w:tcPr>
          <w:p w:rsidR="00F3615F" w:rsidRDefault="000F12F6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of targeted events to those from specific diversity strands </w:t>
            </w:r>
          </w:p>
          <w:p w:rsidR="001D48B5" w:rsidRDefault="001D48B5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D48B5" w:rsidRDefault="001D48B5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the growth of diversity networks </w:t>
            </w:r>
          </w:p>
          <w:p w:rsidR="000F12F6" w:rsidRDefault="000F12F6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F12F6" w:rsidRPr="004321FD" w:rsidRDefault="000F12F6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ongoing research in this area</w:t>
            </w:r>
          </w:p>
        </w:tc>
      </w:tr>
      <w:tr w:rsidR="004E38B3" w:rsidRPr="008B21D5" w:rsidTr="00E23ED5">
        <w:tc>
          <w:tcPr>
            <w:tcW w:w="5070" w:type="dxa"/>
          </w:tcPr>
          <w:p w:rsidR="004E38B3" w:rsidRPr="004E38B3" w:rsidRDefault="004321FD" w:rsidP="004E3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lastRenderedPageBreak/>
              <w:t>Build relationships w</w:t>
            </w:r>
            <w:r w:rsidR="000F12F6">
              <w:rPr>
                <w:rFonts w:ascii="Arial" w:hAnsi="Arial" w:cs="Arial"/>
                <w:sz w:val="20"/>
                <w:szCs w:val="20"/>
              </w:rPr>
              <w:t>ith a range of 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increase the profile of APM</w:t>
            </w:r>
          </w:p>
        </w:tc>
        <w:tc>
          <w:tcPr>
            <w:tcW w:w="4290" w:type="dxa"/>
          </w:tcPr>
          <w:p w:rsidR="004E38B3" w:rsidRPr="004321FD" w:rsidRDefault="004321FD" w:rsidP="004321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21FD">
              <w:rPr>
                <w:rFonts w:ascii="Arial" w:hAnsi="Arial" w:cs="Arial"/>
                <w:sz w:val="20"/>
                <w:szCs w:val="20"/>
              </w:rPr>
              <w:t>APM</w:t>
            </w:r>
            <w:r w:rsidR="001D48B5">
              <w:rPr>
                <w:rFonts w:ascii="Arial" w:hAnsi="Arial" w:cs="Arial"/>
                <w:sz w:val="20"/>
                <w:szCs w:val="20"/>
              </w:rPr>
              <w:t xml:space="preserve">’s profile as a Chartered professional body is better understood in the sectors we engage with </w:t>
            </w:r>
          </w:p>
        </w:tc>
      </w:tr>
      <w:tr w:rsidR="004E38B3" w:rsidRPr="008B21D5" w:rsidTr="00E23ED5">
        <w:tc>
          <w:tcPr>
            <w:tcW w:w="5070" w:type="dxa"/>
          </w:tcPr>
          <w:p w:rsidR="004E38B3" w:rsidRPr="008B21D5" w:rsidRDefault="004321FD" w:rsidP="004E3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collaboratively across APM and with </w:t>
            </w:r>
            <w:r w:rsidR="001D48B5">
              <w:rPr>
                <w:rFonts w:ascii="Arial" w:hAnsi="Arial" w:cs="Arial"/>
                <w:sz w:val="20"/>
                <w:szCs w:val="20"/>
              </w:rPr>
              <w:t xml:space="preserve">ambassador networks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D48B5">
              <w:rPr>
                <w:rFonts w:ascii="Arial" w:hAnsi="Arial" w:cs="Arial"/>
                <w:sz w:val="20"/>
                <w:szCs w:val="20"/>
              </w:rPr>
              <w:t xml:space="preserve">support the continued success of the education outreach programme </w:t>
            </w:r>
          </w:p>
        </w:tc>
        <w:tc>
          <w:tcPr>
            <w:tcW w:w="4290" w:type="dxa"/>
          </w:tcPr>
          <w:p w:rsidR="004E38B3" w:rsidRDefault="001D48B5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levels of collaboration and engagement with membership </w:t>
            </w:r>
          </w:p>
          <w:p w:rsidR="00D20002" w:rsidRDefault="00D20002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20002" w:rsidRPr="004321FD" w:rsidRDefault="00D20002" w:rsidP="004321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growth of the network</w:t>
            </w:r>
          </w:p>
        </w:tc>
      </w:tr>
      <w:tr w:rsidR="00757865" w:rsidRPr="008B21D5" w:rsidTr="00E23ED5">
        <w:tc>
          <w:tcPr>
            <w:tcW w:w="5070" w:type="dxa"/>
          </w:tcPr>
          <w:p w:rsidR="00757865" w:rsidRPr="008B21D5" w:rsidRDefault="00D03767" w:rsidP="004E3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490E92">
              <w:rPr>
                <w:rFonts w:ascii="Arial" w:hAnsi="Arial" w:cs="Arial"/>
                <w:sz w:val="20"/>
                <w:szCs w:val="20"/>
              </w:rPr>
              <w:t xml:space="preserve">Work collaboratively </w:t>
            </w:r>
            <w:r w:rsidR="004E38B3">
              <w:rPr>
                <w:rFonts w:ascii="Arial" w:hAnsi="Arial" w:cs="Arial"/>
                <w:sz w:val="20"/>
                <w:szCs w:val="20"/>
              </w:rPr>
              <w:t xml:space="preserve">across APM to support the development of innovative </w:t>
            </w:r>
            <w:r w:rsidR="00757865">
              <w:rPr>
                <w:rFonts w:ascii="Arial" w:hAnsi="Arial" w:cs="Arial"/>
                <w:sz w:val="20"/>
                <w:szCs w:val="20"/>
              </w:rPr>
              <w:t>new product</w:t>
            </w:r>
            <w:r w:rsidR="004E38B3">
              <w:rPr>
                <w:rFonts w:ascii="Arial" w:hAnsi="Arial" w:cs="Arial"/>
                <w:sz w:val="20"/>
                <w:szCs w:val="20"/>
              </w:rPr>
              <w:t xml:space="preserve">s and services which meet the needs of students and the academic community and promote the opportunities offered by project management in training and education and as a career </w:t>
            </w:r>
          </w:p>
        </w:tc>
        <w:tc>
          <w:tcPr>
            <w:tcW w:w="4290" w:type="dxa"/>
          </w:tcPr>
          <w:p w:rsidR="00757865" w:rsidRPr="008B21D5" w:rsidRDefault="00490E92" w:rsidP="00ED0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products and services are </w:t>
            </w:r>
            <w:r w:rsidR="001D48B5">
              <w:rPr>
                <w:rFonts w:ascii="Arial" w:hAnsi="Arial" w:cs="Arial"/>
                <w:sz w:val="20"/>
                <w:szCs w:val="20"/>
              </w:rPr>
              <w:t xml:space="preserve">welcomed </w:t>
            </w:r>
            <w:r>
              <w:rPr>
                <w:rFonts w:ascii="Arial" w:hAnsi="Arial" w:cs="Arial"/>
                <w:sz w:val="20"/>
                <w:szCs w:val="20"/>
              </w:rPr>
              <w:t>by customers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 and deliver</w:t>
            </w:r>
            <w:r w:rsidR="001D48B5">
              <w:rPr>
                <w:rFonts w:ascii="Arial" w:hAnsi="Arial" w:cs="Arial"/>
                <w:sz w:val="20"/>
                <w:szCs w:val="20"/>
              </w:rPr>
              <w:t>ed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8B5">
              <w:rPr>
                <w:rFonts w:ascii="Arial" w:hAnsi="Arial" w:cs="Arial"/>
                <w:sz w:val="20"/>
                <w:szCs w:val="20"/>
              </w:rPr>
              <w:t xml:space="preserve">against </w:t>
            </w:r>
            <w:r w:rsidR="00DB6F58">
              <w:rPr>
                <w:rFonts w:ascii="Arial" w:hAnsi="Arial" w:cs="Arial"/>
                <w:sz w:val="20"/>
                <w:szCs w:val="20"/>
              </w:rPr>
              <w:t>agreed objectives</w:t>
            </w:r>
          </w:p>
        </w:tc>
      </w:tr>
      <w:tr w:rsidR="00490E92" w:rsidRPr="008B21D5" w:rsidTr="00E23ED5">
        <w:tc>
          <w:tcPr>
            <w:tcW w:w="5070" w:type="dxa"/>
          </w:tcPr>
          <w:p w:rsidR="00490E92" w:rsidRDefault="004E38B3" w:rsidP="00ED0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Su</w:t>
            </w:r>
            <w:r w:rsidR="00F3615F">
              <w:rPr>
                <w:rFonts w:ascii="Arial" w:hAnsi="Arial" w:cs="Arial"/>
                <w:sz w:val="20"/>
                <w:szCs w:val="20"/>
              </w:rPr>
              <w:t xml:space="preserve">pport the uptake of </w:t>
            </w:r>
            <w:r w:rsidRPr="008B21D5">
              <w:rPr>
                <w:rFonts w:ascii="Arial" w:hAnsi="Arial" w:cs="Arial"/>
                <w:sz w:val="20"/>
                <w:szCs w:val="20"/>
              </w:rPr>
              <w:t>APM’s products and services</w:t>
            </w:r>
            <w:r w:rsidR="00F3615F">
              <w:rPr>
                <w:rFonts w:ascii="Arial" w:hAnsi="Arial" w:cs="Arial"/>
                <w:sz w:val="20"/>
                <w:szCs w:val="20"/>
              </w:rPr>
              <w:t xml:space="preserve"> among target sectors </w:t>
            </w:r>
          </w:p>
        </w:tc>
        <w:tc>
          <w:tcPr>
            <w:tcW w:w="4290" w:type="dxa"/>
          </w:tcPr>
          <w:p w:rsidR="00490E92" w:rsidRDefault="00F3615F" w:rsidP="00ED0B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 range of </w:t>
            </w:r>
            <w:r w:rsidR="00490E92">
              <w:rPr>
                <w:rFonts w:ascii="Arial" w:hAnsi="Arial" w:cs="Arial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90E92">
              <w:rPr>
                <w:rFonts w:ascii="Arial" w:hAnsi="Arial" w:cs="Arial"/>
                <w:sz w:val="20"/>
                <w:szCs w:val="20"/>
              </w:rPr>
              <w:t>methods to optimise engagement with customers</w:t>
            </w:r>
          </w:p>
        </w:tc>
      </w:tr>
    </w:tbl>
    <w:p w:rsidR="00D03767" w:rsidRDefault="00D03767">
      <w:pPr>
        <w:rPr>
          <w:rFonts w:ascii="Arial" w:hAnsi="Arial" w:cs="Arial"/>
          <w:b/>
          <w:sz w:val="20"/>
          <w:szCs w:val="20"/>
        </w:rPr>
      </w:pPr>
    </w:p>
    <w:p w:rsidR="00D03767" w:rsidRDefault="00D037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E0853" w:rsidRPr="008B21D5" w:rsidRDefault="000E0853">
      <w:pPr>
        <w:rPr>
          <w:rFonts w:ascii="Arial" w:hAnsi="Arial" w:cs="Arial"/>
          <w:b/>
          <w:sz w:val="20"/>
          <w:szCs w:val="20"/>
        </w:rPr>
      </w:pPr>
    </w:p>
    <w:p w:rsidR="00242042" w:rsidRPr="00D03767" w:rsidRDefault="00D03767" w:rsidP="000A01C0">
      <w:pPr>
        <w:spacing w:beforeLines="60" w:before="144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 Specification </w:t>
      </w:r>
      <w:r w:rsidR="000A01C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A01C0">
        <w:rPr>
          <w:rFonts w:ascii="Arial" w:hAnsi="Arial" w:cs="Arial"/>
          <w:b/>
          <w:sz w:val="28"/>
          <w:szCs w:val="28"/>
        </w:rPr>
        <w:t>E</w:t>
      </w:r>
      <w:r w:rsidR="00396D90">
        <w:rPr>
          <w:rFonts w:ascii="Arial" w:hAnsi="Arial" w:cs="Arial"/>
          <w:b/>
          <w:sz w:val="28"/>
          <w:szCs w:val="28"/>
        </w:rPr>
        <w:t xml:space="preserve">ngagement Co-ordinator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66"/>
        <w:gridCol w:w="1951"/>
      </w:tblGrid>
      <w:tr w:rsidR="00242042" w:rsidRPr="008B21D5" w:rsidTr="00ED0BB5"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8B21D5" w:rsidRDefault="00242042" w:rsidP="000A01C0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Attribute</w:t>
            </w:r>
          </w:p>
        </w:tc>
        <w:tc>
          <w:tcPr>
            <w:tcW w:w="55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8B21D5" w:rsidRDefault="00242042" w:rsidP="000A01C0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8B21D5" w:rsidRDefault="00242042" w:rsidP="000A01C0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Essential / desirable</w:t>
            </w:r>
          </w:p>
        </w:tc>
      </w:tr>
      <w:tr w:rsidR="000402CC" w:rsidRPr="008B21D5" w:rsidTr="000402CC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402CC" w:rsidRPr="008B21D5" w:rsidRDefault="000402CC" w:rsidP="00ED0B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Pr="008B21D5">
              <w:rPr>
                <w:rFonts w:ascii="Arial" w:hAnsi="Arial" w:cs="Arial"/>
                <w:i/>
                <w:sz w:val="20"/>
                <w:szCs w:val="20"/>
              </w:rPr>
              <w:t>(7)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8B21D5" w:rsidRDefault="00396D90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3 qualifications eg A level, BTEC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8B21D5" w:rsidRDefault="000402CC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402CC" w:rsidRPr="008B21D5" w:rsidTr="000402CC">
        <w:trPr>
          <w:trHeight w:val="453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0402CC" w:rsidRPr="008B21D5" w:rsidRDefault="000402CC" w:rsidP="00ED0B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8B21D5" w:rsidRDefault="001D48B5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</w:t>
            </w:r>
            <w:r w:rsidR="000402CC">
              <w:rPr>
                <w:rFonts w:ascii="Arial" w:hAnsi="Arial" w:cs="Arial"/>
                <w:sz w:val="20"/>
                <w:szCs w:val="20"/>
              </w:rPr>
              <w:t xml:space="preserve">rofessional qualification </w:t>
            </w:r>
            <w:r w:rsidR="00D20002">
              <w:rPr>
                <w:rFonts w:ascii="Arial" w:hAnsi="Arial" w:cs="Arial"/>
                <w:sz w:val="20"/>
                <w:szCs w:val="20"/>
              </w:rPr>
              <w:t>eg CIM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8B21D5" w:rsidRDefault="000402CC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0402CC" w:rsidRPr="008B21D5" w:rsidTr="00ED0BB5">
        <w:trPr>
          <w:trHeight w:val="60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0402CC" w:rsidRPr="008B21D5" w:rsidRDefault="000402CC" w:rsidP="00ED0B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  <w:r w:rsidRPr="008B21D5">
              <w:rPr>
                <w:rFonts w:ascii="Arial" w:hAnsi="Arial" w:cs="Arial"/>
                <w:i/>
                <w:sz w:val="20"/>
                <w:szCs w:val="20"/>
              </w:rPr>
              <w:t>(8)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02CC" w:rsidRPr="008B21D5" w:rsidRDefault="00396D90" w:rsidP="00396D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dealing with external and internal customers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02CC" w:rsidRPr="008B21D5" w:rsidRDefault="000402CC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0402CC" w:rsidRPr="008B21D5" w:rsidTr="000402CC">
        <w:trPr>
          <w:trHeight w:val="453"/>
        </w:trPr>
        <w:tc>
          <w:tcPr>
            <w:tcW w:w="1843" w:type="dxa"/>
            <w:vMerge/>
            <w:vAlign w:val="center"/>
          </w:tcPr>
          <w:p w:rsidR="000402CC" w:rsidRPr="008B21D5" w:rsidRDefault="000402CC" w:rsidP="00ED0B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8B21D5" w:rsidRDefault="000402CC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396D90">
              <w:rPr>
                <w:rFonts w:ascii="Arial" w:hAnsi="Arial" w:cs="Arial"/>
                <w:sz w:val="20"/>
                <w:szCs w:val="20"/>
              </w:rPr>
              <w:t xml:space="preserve">gained </w:t>
            </w:r>
            <w:r w:rsidRPr="008B21D5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education sector </w:t>
            </w:r>
            <w:r w:rsidRPr="008B21D5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96D90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8B21D5">
              <w:rPr>
                <w:rFonts w:ascii="Arial" w:hAnsi="Arial" w:cs="Arial"/>
                <w:sz w:val="20"/>
                <w:szCs w:val="20"/>
              </w:rPr>
              <w:t>a professional body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CC" w:rsidRPr="008B21D5" w:rsidRDefault="000402CC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0402CC" w:rsidRPr="008B21D5" w:rsidTr="00ED0BB5">
        <w:trPr>
          <w:trHeight w:val="210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0402CC" w:rsidRPr="008B21D5" w:rsidRDefault="000402CC" w:rsidP="00ED0B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8B21D5" w:rsidRDefault="000402CC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396D90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90">
              <w:rPr>
                <w:rFonts w:ascii="Arial" w:hAnsi="Arial" w:cs="Arial"/>
                <w:sz w:val="20"/>
                <w:szCs w:val="20"/>
              </w:rPr>
              <w:t>delivering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 or supporting</w:t>
            </w:r>
            <w:r w:rsidR="00396D90">
              <w:rPr>
                <w:rFonts w:ascii="Arial" w:hAnsi="Arial" w:cs="Arial"/>
                <w:sz w:val="20"/>
                <w:szCs w:val="20"/>
              </w:rPr>
              <w:t xml:space="preserve"> projects, including events, to a successful conclusion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2CC" w:rsidRPr="008B21D5" w:rsidRDefault="000402CC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6F56C6" w:rsidRPr="008B21D5" w:rsidTr="00ED0BB5">
        <w:trPr>
          <w:trHeight w:val="615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F56C6" w:rsidRPr="008B21D5" w:rsidRDefault="006F56C6" w:rsidP="00ED0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6C6" w:rsidRPr="008B21D5" w:rsidRDefault="006F56C6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Knowledge of the business environment that APM operates in and the importance of projects in organisations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6C6" w:rsidRPr="008B21D5" w:rsidRDefault="006F56C6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6F56C6" w:rsidRPr="008B21D5" w:rsidTr="000402CC">
        <w:trPr>
          <w:trHeight w:val="712"/>
        </w:trPr>
        <w:tc>
          <w:tcPr>
            <w:tcW w:w="1843" w:type="dxa"/>
            <w:vMerge/>
            <w:vAlign w:val="center"/>
          </w:tcPr>
          <w:p w:rsidR="006F56C6" w:rsidRPr="008B21D5" w:rsidRDefault="006F56C6" w:rsidP="00ED0B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C6" w:rsidRPr="008B21D5" w:rsidRDefault="006F56C6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 xml:space="preserve">Knowledge of marketing and 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stakeholder </w:t>
            </w:r>
            <w:r w:rsidRPr="008B21D5">
              <w:rPr>
                <w:rFonts w:ascii="Arial" w:hAnsi="Arial" w:cs="Arial"/>
                <w:sz w:val="20"/>
                <w:szCs w:val="20"/>
              </w:rPr>
              <w:t xml:space="preserve">techniques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C6" w:rsidRPr="008B21D5" w:rsidRDefault="00396D90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6F56C6" w:rsidRPr="008B21D5" w:rsidTr="00ED0BB5">
        <w:trPr>
          <w:trHeight w:val="198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F56C6" w:rsidRPr="008B21D5" w:rsidRDefault="006F56C6" w:rsidP="00ED0B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6C6" w:rsidRDefault="006F56C6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the education sector, particularly </w:t>
            </w:r>
            <w:r w:rsidR="00D555AC">
              <w:rPr>
                <w:rFonts w:ascii="Arial" w:hAnsi="Arial" w:cs="Arial"/>
                <w:sz w:val="20"/>
                <w:szCs w:val="20"/>
              </w:rPr>
              <w:t xml:space="preserve">schools, universities and training providers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6C6" w:rsidRDefault="006F56C6" w:rsidP="00ED0B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DB6F58" w:rsidRPr="008B21D5" w:rsidTr="0026244D">
        <w:trPr>
          <w:trHeight w:val="2379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8B21D5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D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6D90" w:rsidRDefault="00DB6F58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Excellent IT skills in Microsoft Office, especially Outlook, Powerpoint, Excel, Word</w:t>
            </w:r>
          </w:p>
          <w:p w:rsidR="00DB6F58" w:rsidRDefault="00396D90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="00D03767">
              <w:rPr>
                <w:rFonts w:ascii="Arial" w:hAnsi="Arial" w:cs="Arial"/>
                <w:sz w:val="20"/>
                <w:szCs w:val="20"/>
              </w:rPr>
              <w:t xml:space="preserve">cial 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experience </w:t>
            </w:r>
          </w:p>
          <w:p w:rsidR="00396D90" w:rsidRPr="008B21D5" w:rsidRDefault="00396D90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CRM systems</w:t>
            </w:r>
          </w:p>
          <w:p w:rsidR="00DB6F58" w:rsidRPr="008B21D5" w:rsidRDefault="00396D90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B6F58" w:rsidRPr="008B21D5">
              <w:rPr>
                <w:rFonts w:ascii="Arial" w:hAnsi="Arial" w:cs="Arial"/>
                <w:sz w:val="20"/>
                <w:szCs w:val="20"/>
              </w:rPr>
              <w:t>xcellent communication skills in all media: digital, written, spoken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8B21D5" w:rsidRDefault="00DB6F58" w:rsidP="002624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1D5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DB6F58" w:rsidRPr="008B21D5" w:rsidTr="0026244D">
        <w:trPr>
          <w:trHeight w:val="982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8B21D5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Default="00DB6F58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driving licence</w:t>
            </w:r>
          </w:p>
          <w:p w:rsidR="00DB6F58" w:rsidRPr="008B21D5" w:rsidRDefault="00DB6F58" w:rsidP="00D037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spend occasional nights away from home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F58" w:rsidRPr="008B21D5" w:rsidRDefault="00396D90" w:rsidP="002624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DB6F58" w:rsidRPr="00FE3DF7" w:rsidTr="00D03767">
        <w:trPr>
          <w:trHeight w:val="600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B6F58" w:rsidP="002624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 xml:space="preserve">Behaviour / competency </w:t>
            </w:r>
            <w:r w:rsidRPr="00FE3DF7">
              <w:rPr>
                <w:rFonts w:ascii="Arial" w:hAnsi="Arial" w:cs="Arial"/>
                <w:b/>
                <w:i/>
                <w:sz w:val="20"/>
                <w:szCs w:val="20"/>
              </w:rPr>
              <w:t>(9)</w:t>
            </w:r>
          </w:p>
        </w:tc>
        <w:tc>
          <w:tcPr>
            <w:tcW w:w="5566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BA5C8E" w:rsidRDefault="00FF146D" w:rsidP="00DB6F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customer focus</w:t>
            </w:r>
            <w:r w:rsidR="00396D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willingness to learn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BA5C8E" w:rsidRDefault="00DB6F58" w:rsidP="00D037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D555AC" w:rsidRDefault="00D555AC" w:rsidP="000A01C0">
      <w:pPr>
        <w:spacing w:beforeLines="60" w:before="144"/>
        <w:rPr>
          <w:rFonts w:ascii="Arial" w:hAnsi="Arial" w:cs="Arial"/>
          <w:b/>
          <w:sz w:val="20"/>
          <w:szCs w:val="20"/>
        </w:rPr>
      </w:pPr>
    </w:p>
    <w:p w:rsidR="00D555AC" w:rsidRDefault="00D55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A6C25" w:rsidRDefault="003A6C25" w:rsidP="000A01C0">
      <w:pPr>
        <w:spacing w:beforeLines="60" w:before="14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DB6F58" w:rsidRPr="00FE3DF7" w:rsidTr="0026244D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DB6F58" w:rsidRPr="00FE3DF7" w:rsidRDefault="00DB6F58" w:rsidP="0026244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Supporting Behaviours</w:t>
            </w:r>
          </w:p>
        </w:tc>
      </w:tr>
      <w:tr w:rsidR="00DB6F58" w:rsidRPr="00FE3DF7" w:rsidTr="0026244D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B6F58" w:rsidRPr="00D03767" w:rsidRDefault="00DB6F58" w:rsidP="0026244D">
            <w:pPr>
              <w:rPr>
                <w:rFonts w:ascii="Arial" w:hAnsi="Arial" w:cs="Arial"/>
                <w:b/>
              </w:rPr>
            </w:pPr>
            <w:r w:rsidRPr="00D03767">
              <w:rPr>
                <w:rFonts w:ascii="Arial" w:hAnsi="Arial" w:cs="Arial"/>
                <w:b/>
              </w:rPr>
              <w:t>Behaviour</w:t>
            </w:r>
          </w:p>
          <w:p w:rsidR="00D03767" w:rsidRPr="00D03767" w:rsidRDefault="00D03767" w:rsidP="0026244D">
            <w:pPr>
              <w:rPr>
                <w:rFonts w:ascii="Arial" w:hAnsi="Arial" w:cs="Arial"/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DB6F58" w:rsidRPr="00D03767" w:rsidRDefault="00DB6F58" w:rsidP="0026244D">
            <w:pPr>
              <w:spacing w:before="60" w:after="60"/>
              <w:rPr>
                <w:rFonts w:ascii="Arial" w:hAnsi="Arial" w:cs="Arial"/>
                <w:b/>
              </w:rPr>
            </w:pPr>
            <w:r w:rsidRPr="00D03767">
              <w:rPr>
                <w:rFonts w:ascii="Arial" w:hAnsi="Arial" w:cs="Arial"/>
                <w:b/>
              </w:rPr>
              <w:t>Description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D0376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B6F58" w:rsidP="0026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</w:t>
            </w:r>
            <w:r w:rsidRPr="000152A2">
              <w:rPr>
                <w:rFonts w:ascii="Arial" w:hAnsi="Arial" w:cs="Arial"/>
                <w:sz w:val="20"/>
                <w:szCs w:val="20"/>
              </w:rPr>
              <w:t xml:space="preserve"> build 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and maintain </w:t>
            </w:r>
            <w:r w:rsidRPr="000152A2">
              <w:rPr>
                <w:rFonts w:ascii="Arial" w:hAnsi="Arial" w:cs="Arial"/>
                <w:sz w:val="20"/>
                <w:szCs w:val="20"/>
              </w:rPr>
              <w:t>networks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146D">
              <w:rPr>
                <w:rFonts w:ascii="Arial" w:hAnsi="Arial" w:cs="Arial"/>
                <w:sz w:val="20"/>
                <w:szCs w:val="20"/>
              </w:rPr>
              <w:t>Confident written and verbal communicator, able to use a range of tools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03767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Customer and Supplier Focus</w:t>
            </w:r>
          </w:p>
          <w:p w:rsidR="00D0376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555AC" w:rsidP="0026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B6F58" w:rsidRPr="000152A2">
              <w:rPr>
                <w:rFonts w:ascii="Arial" w:hAnsi="Arial" w:cs="Arial"/>
                <w:sz w:val="20"/>
                <w:szCs w:val="20"/>
              </w:rPr>
              <w:t>nderstand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responsive to 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customer needs. Able to build and maintain customer relationships. 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Working Together / Teamwork</w:t>
            </w: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555AC" w:rsidP="0026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 as 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part of a </w:t>
            </w: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with internal and external 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stakeholders at all levels. </w:t>
            </w:r>
          </w:p>
          <w:p w:rsidR="00DB6F58" w:rsidRPr="00FE3DF7" w:rsidRDefault="00DB6F58" w:rsidP="00262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Problem Solving and Ownership</w:t>
            </w: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555AC" w:rsidP="00DB6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Takes 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ownership of problems and </w:t>
            </w:r>
            <w:r w:rsidR="006F56C6">
              <w:rPr>
                <w:rFonts w:ascii="Arial" w:hAnsi="Arial" w:cs="Arial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 solutions</w:t>
            </w:r>
            <w:r w:rsidR="00FF14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Improvement, Change and Creativity</w:t>
            </w: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555AC" w:rsidP="0026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Identifies opportunities to improve </w:t>
            </w:r>
            <w:r w:rsidR="00DB6F58">
              <w:rPr>
                <w:rFonts w:ascii="Arial" w:hAnsi="Arial" w:cs="Arial"/>
                <w:sz w:val="20"/>
                <w:szCs w:val="20"/>
              </w:rPr>
              <w:t>and work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6F58">
              <w:rPr>
                <w:rFonts w:ascii="Arial" w:hAnsi="Arial" w:cs="Arial"/>
                <w:sz w:val="20"/>
                <w:szCs w:val="20"/>
              </w:rPr>
              <w:t xml:space="preserve"> collaboratively to achieve agreed goals. 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Planning and Organising</w:t>
            </w: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555AC" w:rsidP="0026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="00DB6F58">
              <w:rPr>
                <w:rFonts w:ascii="Arial" w:hAnsi="Arial" w:cs="Arial"/>
                <w:sz w:val="20"/>
                <w:szCs w:val="20"/>
              </w:rPr>
              <w:t>and organise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B6F58">
              <w:rPr>
                <w:rFonts w:ascii="Arial" w:hAnsi="Arial" w:cs="Arial"/>
                <w:sz w:val="20"/>
                <w:szCs w:val="20"/>
              </w:rPr>
              <w:t>own workload to deliver objectives</w:t>
            </w:r>
            <w:r w:rsidR="00FF146D">
              <w:rPr>
                <w:rFonts w:ascii="Arial" w:hAnsi="Arial" w:cs="Arial"/>
                <w:sz w:val="20"/>
                <w:szCs w:val="20"/>
              </w:rPr>
              <w:t xml:space="preserve"> on time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Organisational Commitment</w:t>
            </w: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555AC" w:rsidP="00836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DB6F58">
              <w:rPr>
                <w:rFonts w:ascii="Arial" w:hAnsi="Arial" w:cs="Arial"/>
                <w:sz w:val="20"/>
                <w:szCs w:val="20"/>
                <w:lang w:val="en-US"/>
              </w:rPr>
              <w:t>emonstrate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B6F58">
              <w:rPr>
                <w:rFonts w:ascii="Arial" w:hAnsi="Arial" w:cs="Arial"/>
                <w:sz w:val="20"/>
                <w:szCs w:val="20"/>
                <w:lang w:val="en-US"/>
              </w:rPr>
              <w:t xml:space="preserve"> commitment to </w:t>
            </w:r>
            <w:r w:rsidR="0083626F">
              <w:rPr>
                <w:rFonts w:ascii="Arial" w:hAnsi="Arial" w:cs="Arial"/>
                <w:sz w:val="20"/>
                <w:szCs w:val="20"/>
                <w:lang w:val="en-US"/>
              </w:rPr>
              <w:t>APM</w:t>
            </w:r>
            <w:r w:rsidR="00DB6F58">
              <w:rPr>
                <w:rFonts w:ascii="Arial" w:hAnsi="Arial" w:cs="Arial"/>
                <w:sz w:val="20"/>
                <w:szCs w:val="20"/>
                <w:lang w:val="en-US"/>
              </w:rPr>
              <w:t xml:space="preserve"> and embodies the values of the organi</w:t>
            </w:r>
            <w:r w:rsidR="00FF146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B6F58">
              <w:rPr>
                <w:rFonts w:ascii="Arial" w:hAnsi="Arial" w:cs="Arial"/>
                <w:sz w:val="20"/>
                <w:szCs w:val="20"/>
                <w:lang w:val="en-US"/>
              </w:rPr>
              <w:t xml:space="preserve">ation by maintaining a professional image at all times. </w:t>
            </w:r>
          </w:p>
        </w:tc>
      </w:tr>
      <w:tr w:rsidR="00DB6F58" w:rsidRPr="00FE3DF7" w:rsidTr="0026244D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Default="00DB6F58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D0376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767" w:rsidRPr="00FE3DF7" w:rsidRDefault="00D03767" w:rsidP="00262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DB6F58" w:rsidRPr="00FE3DF7" w:rsidRDefault="00D555AC" w:rsidP="0026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Stays calm and </w:t>
            </w:r>
            <w:r w:rsidR="00DB6F58">
              <w:rPr>
                <w:rFonts w:ascii="Arial" w:hAnsi="Arial" w:cs="Arial"/>
                <w:sz w:val="20"/>
                <w:szCs w:val="20"/>
              </w:rPr>
              <w:t>focused under pressure, responding positively and constructively to challenge</w:t>
            </w:r>
            <w:r w:rsidR="00FF146D">
              <w:rPr>
                <w:rFonts w:ascii="Arial" w:hAnsi="Arial" w:cs="Arial"/>
                <w:sz w:val="20"/>
                <w:szCs w:val="20"/>
              </w:rPr>
              <w:t>s</w:t>
            </w:r>
            <w:r w:rsidR="00DB6F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F3675" w:rsidRPr="008B21D5" w:rsidRDefault="002F3675">
      <w:pPr>
        <w:rPr>
          <w:rFonts w:ascii="Arial" w:hAnsi="Arial" w:cs="Arial"/>
          <w:sz w:val="20"/>
          <w:szCs w:val="20"/>
        </w:rPr>
      </w:pPr>
    </w:p>
    <w:sectPr w:rsidR="002F3675" w:rsidRPr="008B21D5" w:rsidSect="00E05F3C">
      <w:headerReference w:type="default" r:id="rId9"/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5F" w:rsidRDefault="00F3615F">
      <w:r>
        <w:separator/>
      </w:r>
    </w:p>
  </w:endnote>
  <w:endnote w:type="continuationSeparator" w:id="0">
    <w:p w:rsidR="00F3615F" w:rsidRDefault="00F3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5F" w:rsidRDefault="00F3615F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Role: Engagement Co-ordinator </w:t>
    </w:r>
  </w:p>
  <w:p w:rsidR="00F3615F" w:rsidRDefault="00F3615F" w:rsidP="00ED7165">
    <w:pPr>
      <w:pStyle w:val="Footer"/>
      <w:tabs>
        <w:tab w:val="clear" w:pos="4320"/>
        <w:tab w:val="clear" w:pos="8640"/>
        <w:tab w:val="center" w:pos="423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May 2019</w:t>
    </w:r>
  </w:p>
  <w:p w:rsidR="00F3615F" w:rsidRPr="00B73ADE" w:rsidRDefault="00F3615F" w:rsidP="00B73A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5F" w:rsidRDefault="00F3615F">
      <w:r>
        <w:separator/>
      </w:r>
    </w:p>
  </w:footnote>
  <w:footnote w:type="continuationSeparator" w:id="0">
    <w:p w:rsidR="00F3615F" w:rsidRDefault="00F3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5F" w:rsidRPr="002822FA" w:rsidRDefault="00F3615F" w:rsidP="00C631BF">
    <w:pPr>
      <w:pStyle w:val="Header"/>
      <w:rPr>
        <w:rFonts w:ascii="Arial" w:hAnsi="Arial" w:cs="Arial"/>
        <w:b/>
        <w:color w:val="993366"/>
        <w:sz w:val="20"/>
        <w:szCs w:val="20"/>
      </w:rPr>
    </w:pPr>
    <w:r>
      <w:rPr>
        <w:b/>
        <w:noProof/>
        <w:color w:val="993366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8890</wp:posOffset>
          </wp:positionV>
          <wp:extent cx="800100" cy="342900"/>
          <wp:effectExtent l="19050" t="0" r="0" b="0"/>
          <wp:wrapNone/>
          <wp:docPr id="1" name="Picture 1" descr="a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2FA">
      <w:rPr>
        <w:rFonts w:ascii="Arial" w:hAnsi="Arial" w:cs="Arial"/>
        <w:b/>
        <w:color w:val="993366"/>
        <w:sz w:val="20"/>
        <w:szCs w:val="20"/>
      </w:rPr>
      <w:t>Confidential</w:t>
    </w:r>
    <w:r w:rsidRPr="002822FA">
      <w:rPr>
        <w:rFonts w:ascii="Arial" w:hAnsi="Arial" w:cs="Arial"/>
        <w:b/>
        <w:color w:val="993366"/>
        <w:sz w:val="20"/>
        <w:szCs w:val="20"/>
      </w:rPr>
      <w:tab/>
    </w:r>
    <w:r w:rsidRPr="002822FA">
      <w:rPr>
        <w:rFonts w:ascii="Arial" w:hAnsi="Arial" w:cs="Arial"/>
        <w:b/>
        <w:color w:val="993366"/>
        <w:sz w:val="20"/>
        <w:szCs w:val="20"/>
      </w:rPr>
      <w:tab/>
    </w:r>
  </w:p>
  <w:p w:rsidR="00F3615F" w:rsidRPr="007C4103" w:rsidRDefault="00F3615F" w:rsidP="00C631B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5055287"/>
    <w:multiLevelType w:val="hybridMultilevel"/>
    <w:tmpl w:val="BAFA7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69"/>
    <w:multiLevelType w:val="hybridMultilevel"/>
    <w:tmpl w:val="AD34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608"/>
    <w:multiLevelType w:val="hybridMultilevel"/>
    <w:tmpl w:val="97F87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F14E7"/>
    <w:multiLevelType w:val="hybridMultilevel"/>
    <w:tmpl w:val="1770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817D3"/>
    <w:multiLevelType w:val="hybridMultilevel"/>
    <w:tmpl w:val="6A281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D0695"/>
    <w:multiLevelType w:val="hybridMultilevel"/>
    <w:tmpl w:val="41CC8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FCA"/>
    <w:multiLevelType w:val="hybridMultilevel"/>
    <w:tmpl w:val="E98AE46E"/>
    <w:lvl w:ilvl="0" w:tplc="07BE629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6456DB"/>
    <w:multiLevelType w:val="hybridMultilevel"/>
    <w:tmpl w:val="B7305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126F8"/>
    <w:multiLevelType w:val="hybridMultilevel"/>
    <w:tmpl w:val="77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32288"/>
    <w:multiLevelType w:val="hybridMultilevel"/>
    <w:tmpl w:val="CE202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5953AA"/>
    <w:multiLevelType w:val="hybridMultilevel"/>
    <w:tmpl w:val="D856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62411"/>
    <w:multiLevelType w:val="hybridMultilevel"/>
    <w:tmpl w:val="971CB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B84C89"/>
    <w:multiLevelType w:val="hybridMultilevel"/>
    <w:tmpl w:val="C142A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1925"/>
    <w:multiLevelType w:val="hybridMultilevel"/>
    <w:tmpl w:val="8F92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23C45"/>
    <w:multiLevelType w:val="hybridMultilevel"/>
    <w:tmpl w:val="CDFE4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F310F"/>
    <w:multiLevelType w:val="hybridMultilevel"/>
    <w:tmpl w:val="F792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40"/>
  </w:num>
  <w:num w:numId="5">
    <w:abstractNumId w:val="34"/>
  </w:num>
  <w:num w:numId="6">
    <w:abstractNumId w:val="18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33"/>
  </w:num>
  <w:num w:numId="12">
    <w:abstractNumId w:val="29"/>
  </w:num>
  <w:num w:numId="13">
    <w:abstractNumId w:val="32"/>
  </w:num>
  <w:num w:numId="14">
    <w:abstractNumId w:val="4"/>
  </w:num>
  <w:num w:numId="15">
    <w:abstractNumId w:val="35"/>
  </w:num>
  <w:num w:numId="16">
    <w:abstractNumId w:val="39"/>
  </w:num>
  <w:num w:numId="17">
    <w:abstractNumId w:val="10"/>
  </w:num>
  <w:num w:numId="18">
    <w:abstractNumId w:val="11"/>
  </w:num>
  <w:num w:numId="19">
    <w:abstractNumId w:val="19"/>
  </w:num>
  <w:num w:numId="20">
    <w:abstractNumId w:val="24"/>
  </w:num>
  <w:num w:numId="21">
    <w:abstractNumId w:val="37"/>
  </w:num>
  <w:num w:numId="22">
    <w:abstractNumId w:val="13"/>
  </w:num>
  <w:num w:numId="23">
    <w:abstractNumId w:val="9"/>
  </w:num>
  <w:num w:numId="24">
    <w:abstractNumId w:val="6"/>
  </w:num>
  <w:num w:numId="25">
    <w:abstractNumId w:val="15"/>
  </w:num>
  <w:num w:numId="26">
    <w:abstractNumId w:val="21"/>
  </w:num>
  <w:num w:numId="27">
    <w:abstractNumId w:val="38"/>
  </w:num>
  <w:num w:numId="28">
    <w:abstractNumId w:val="0"/>
  </w:num>
  <w:num w:numId="29">
    <w:abstractNumId w:val="16"/>
  </w:num>
  <w:num w:numId="30">
    <w:abstractNumId w:val="28"/>
  </w:num>
  <w:num w:numId="31">
    <w:abstractNumId w:val="8"/>
  </w:num>
  <w:num w:numId="32">
    <w:abstractNumId w:val="7"/>
  </w:num>
  <w:num w:numId="33">
    <w:abstractNumId w:val="20"/>
  </w:num>
  <w:num w:numId="34">
    <w:abstractNumId w:val="30"/>
  </w:num>
  <w:num w:numId="35">
    <w:abstractNumId w:val="5"/>
  </w:num>
  <w:num w:numId="36">
    <w:abstractNumId w:val="31"/>
  </w:num>
  <w:num w:numId="37">
    <w:abstractNumId w:val="22"/>
  </w:num>
  <w:num w:numId="38">
    <w:abstractNumId w:val="2"/>
  </w:num>
  <w:num w:numId="39">
    <w:abstractNumId w:val="27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41E1"/>
    <w:rsid w:val="00014AC0"/>
    <w:rsid w:val="00015D04"/>
    <w:rsid w:val="00035E84"/>
    <w:rsid w:val="000402CC"/>
    <w:rsid w:val="000501BF"/>
    <w:rsid w:val="0005246A"/>
    <w:rsid w:val="00092457"/>
    <w:rsid w:val="0009324B"/>
    <w:rsid w:val="0009374F"/>
    <w:rsid w:val="00096E50"/>
    <w:rsid w:val="0009762B"/>
    <w:rsid w:val="000A01C0"/>
    <w:rsid w:val="000A2DCB"/>
    <w:rsid w:val="000D2E05"/>
    <w:rsid w:val="000D4242"/>
    <w:rsid w:val="000D4D11"/>
    <w:rsid w:val="000E0853"/>
    <w:rsid w:val="000F12F6"/>
    <w:rsid w:val="000F4F58"/>
    <w:rsid w:val="00102EF0"/>
    <w:rsid w:val="00120370"/>
    <w:rsid w:val="0013213A"/>
    <w:rsid w:val="00146F6A"/>
    <w:rsid w:val="00155DCF"/>
    <w:rsid w:val="0017240C"/>
    <w:rsid w:val="00172CAF"/>
    <w:rsid w:val="00182EA6"/>
    <w:rsid w:val="00190C9F"/>
    <w:rsid w:val="00190F4B"/>
    <w:rsid w:val="001947D6"/>
    <w:rsid w:val="001D2673"/>
    <w:rsid w:val="001D48B5"/>
    <w:rsid w:val="001D5576"/>
    <w:rsid w:val="001E561D"/>
    <w:rsid w:val="00200E0C"/>
    <w:rsid w:val="002028B2"/>
    <w:rsid w:val="00204063"/>
    <w:rsid w:val="00206CCC"/>
    <w:rsid w:val="00207796"/>
    <w:rsid w:val="00225A74"/>
    <w:rsid w:val="0022751B"/>
    <w:rsid w:val="002323B9"/>
    <w:rsid w:val="002359BE"/>
    <w:rsid w:val="0023699A"/>
    <w:rsid w:val="002376BB"/>
    <w:rsid w:val="00242042"/>
    <w:rsid w:val="00257F8F"/>
    <w:rsid w:val="0026244D"/>
    <w:rsid w:val="002822FA"/>
    <w:rsid w:val="0028744D"/>
    <w:rsid w:val="00287B1D"/>
    <w:rsid w:val="00292ECD"/>
    <w:rsid w:val="002A293F"/>
    <w:rsid w:val="002B009B"/>
    <w:rsid w:val="002B632F"/>
    <w:rsid w:val="002E1ADA"/>
    <w:rsid w:val="002F2066"/>
    <w:rsid w:val="002F2B0A"/>
    <w:rsid w:val="002F3675"/>
    <w:rsid w:val="003076DE"/>
    <w:rsid w:val="0031460E"/>
    <w:rsid w:val="00314DFE"/>
    <w:rsid w:val="00325FFE"/>
    <w:rsid w:val="00331B07"/>
    <w:rsid w:val="0034704A"/>
    <w:rsid w:val="00347C8A"/>
    <w:rsid w:val="00347E8A"/>
    <w:rsid w:val="00355D57"/>
    <w:rsid w:val="00362E18"/>
    <w:rsid w:val="00375734"/>
    <w:rsid w:val="003776E8"/>
    <w:rsid w:val="00392F66"/>
    <w:rsid w:val="00396D90"/>
    <w:rsid w:val="003A1AFA"/>
    <w:rsid w:val="003A32BC"/>
    <w:rsid w:val="003A6C25"/>
    <w:rsid w:val="003B0269"/>
    <w:rsid w:val="003B2C5E"/>
    <w:rsid w:val="003B3163"/>
    <w:rsid w:val="003B331D"/>
    <w:rsid w:val="003B4AAC"/>
    <w:rsid w:val="003C17F3"/>
    <w:rsid w:val="003D0036"/>
    <w:rsid w:val="003E0831"/>
    <w:rsid w:val="003E6D8C"/>
    <w:rsid w:val="003F1C77"/>
    <w:rsid w:val="003F733F"/>
    <w:rsid w:val="00403418"/>
    <w:rsid w:val="00416253"/>
    <w:rsid w:val="00422127"/>
    <w:rsid w:val="00422348"/>
    <w:rsid w:val="0042673F"/>
    <w:rsid w:val="00430EF3"/>
    <w:rsid w:val="004321FD"/>
    <w:rsid w:val="0046053F"/>
    <w:rsid w:val="00470465"/>
    <w:rsid w:val="00473750"/>
    <w:rsid w:val="00475656"/>
    <w:rsid w:val="00487CC5"/>
    <w:rsid w:val="00490E92"/>
    <w:rsid w:val="004A3BD8"/>
    <w:rsid w:val="004A3F86"/>
    <w:rsid w:val="004A7F5E"/>
    <w:rsid w:val="004B6C7B"/>
    <w:rsid w:val="004C1703"/>
    <w:rsid w:val="004C73D9"/>
    <w:rsid w:val="004D284E"/>
    <w:rsid w:val="004D2B29"/>
    <w:rsid w:val="004E38B3"/>
    <w:rsid w:val="004E77BE"/>
    <w:rsid w:val="004F60A1"/>
    <w:rsid w:val="00502B68"/>
    <w:rsid w:val="00531663"/>
    <w:rsid w:val="00543028"/>
    <w:rsid w:val="005531E0"/>
    <w:rsid w:val="00567AC6"/>
    <w:rsid w:val="00595A91"/>
    <w:rsid w:val="005A7335"/>
    <w:rsid w:val="005B21FE"/>
    <w:rsid w:val="005C5A19"/>
    <w:rsid w:val="005E768B"/>
    <w:rsid w:val="006124C3"/>
    <w:rsid w:val="00623835"/>
    <w:rsid w:val="00631620"/>
    <w:rsid w:val="00633D14"/>
    <w:rsid w:val="00651002"/>
    <w:rsid w:val="00652436"/>
    <w:rsid w:val="00653C53"/>
    <w:rsid w:val="006624F1"/>
    <w:rsid w:val="0067204C"/>
    <w:rsid w:val="006A5079"/>
    <w:rsid w:val="006C30C5"/>
    <w:rsid w:val="006D1001"/>
    <w:rsid w:val="006D3B15"/>
    <w:rsid w:val="006D4272"/>
    <w:rsid w:val="006D4D84"/>
    <w:rsid w:val="006D5BAA"/>
    <w:rsid w:val="006E10FA"/>
    <w:rsid w:val="006F56C6"/>
    <w:rsid w:val="00702E23"/>
    <w:rsid w:val="00705B72"/>
    <w:rsid w:val="007112AF"/>
    <w:rsid w:val="00713062"/>
    <w:rsid w:val="007166C0"/>
    <w:rsid w:val="007166FF"/>
    <w:rsid w:val="00730757"/>
    <w:rsid w:val="00732335"/>
    <w:rsid w:val="00736260"/>
    <w:rsid w:val="00736A9B"/>
    <w:rsid w:val="0075690A"/>
    <w:rsid w:val="00757865"/>
    <w:rsid w:val="0077022D"/>
    <w:rsid w:val="00773FD3"/>
    <w:rsid w:val="00783981"/>
    <w:rsid w:val="0078625F"/>
    <w:rsid w:val="0079615B"/>
    <w:rsid w:val="007A1E36"/>
    <w:rsid w:val="007A5191"/>
    <w:rsid w:val="007B7115"/>
    <w:rsid w:val="007B7848"/>
    <w:rsid w:val="007B7DAA"/>
    <w:rsid w:val="007C2697"/>
    <w:rsid w:val="007C4103"/>
    <w:rsid w:val="007C4F8F"/>
    <w:rsid w:val="007D7CAA"/>
    <w:rsid w:val="007E53D7"/>
    <w:rsid w:val="007F0DB3"/>
    <w:rsid w:val="007F2F0B"/>
    <w:rsid w:val="00802CBC"/>
    <w:rsid w:val="00811EC8"/>
    <w:rsid w:val="00826814"/>
    <w:rsid w:val="0083626F"/>
    <w:rsid w:val="0085145A"/>
    <w:rsid w:val="00852ED9"/>
    <w:rsid w:val="00853A5B"/>
    <w:rsid w:val="00854421"/>
    <w:rsid w:val="00861E19"/>
    <w:rsid w:val="008622E7"/>
    <w:rsid w:val="008A22B2"/>
    <w:rsid w:val="008A508D"/>
    <w:rsid w:val="008B21D5"/>
    <w:rsid w:val="008C2813"/>
    <w:rsid w:val="008C3E84"/>
    <w:rsid w:val="008C5346"/>
    <w:rsid w:val="008E32D7"/>
    <w:rsid w:val="008E6774"/>
    <w:rsid w:val="00910191"/>
    <w:rsid w:val="009347F3"/>
    <w:rsid w:val="0093716E"/>
    <w:rsid w:val="00950196"/>
    <w:rsid w:val="009518B9"/>
    <w:rsid w:val="00951957"/>
    <w:rsid w:val="00953230"/>
    <w:rsid w:val="009675AA"/>
    <w:rsid w:val="0097098C"/>
    <w:rsid w:val="00971016"/>
    <w:rsid w:val="00974036"/>
    <w:rsid w:val="009A5497"/>
    <w:rsid w:val="009B09B7"/>
    <w:rsid w:val="009B6444"/>
    <w:rsid w:val="009C1E5B"/>
    <w:rsid w:val="009C2479"/>
    <w:rsid w:val="009D61FE"/>
    <w:rsid w:val="00A039F7"/>
    <w:rsid w:val="00A218EA"/>
    <w:rsid w:val="00A42621"/>
    <w:rsid w:val="00A44B79"/>
    <w:rsid w:val="00A67393"/>
    <w:rsid w:val="00AA60DD"/>
    <w:rsid w:val="00AC0454"/>
    <w:rsid w:val="00AC6CBD"/>
    <w:rsid w:val="00AD34D7"/>
    <w:rsid w:val="00AD5EE0"/>
    <w:rsid w:val="00B06672"/>
    <w:rsid w:val="00B1744A"/>
    <w:rsid w:val="00B46EC1"/>
    <w:rsid w:val="00B554F3"/>
    <w:rsid w:val="00B70A92"/>
    <w:rsid w:val="00B72EC6"/>
    <w:rsid w:val="00B73ADE"/>
    <w:rsid w:val="00B85CD1"/>
    <w:rsid w:val="00BD1559"/>
    <w:rsid w:val="00BD1F48"/>
    <w:rsid w:val="00BD2710"/>
    <w:rsid w:val="00BD4D50"/>
    <w:rsid w:val="00BE01E1"/>
    <w:rsid w:val="00BE600E"/>
    <w:rsid w:val="00C01216"/>
    <w:rsid w:val="00C0777D"/>
    <w:rsid w:val="00C11255"/>
    <w:rsid w:val="00C30889"/>
    <w:rsid w:val="00C31348"/>
    <w:rsid w:val="00C46598"/>
    <w:rsid w:val="00C46F03"/>
    <w:rsid w:val="00C631BF"/>
    <w:rsid w:val="00C66A1F"/>
    <w:rsid w:val="00C74F5C"/>
    <w:rsid w:val="00C91CBC"/>
    <w:rsid w:val="00C95527"/>
    <w:rsid w:val="00C9623F"/>
    <w:rsid w:val="00CA67EE"/>
    <w:rsid w:val="00CB4216"/>
    <w:rsid w:val="00CB42EB"/>
    <w:rsid w:val="00CC1155"/>
    <w:rsid w:val="00CC7E4B"/>
    <w:rsid w:val="00CD0119"/>
    <w:rsid w:val="00CD201D"/>
    <w:rsid w:val="00CE431A"/>
    <w:rsid w:val="00D0272B"/>
    <w:rsid w:val="00D03767"/>
    <w:rsid w:val="00D0435F"/>
    <w:rsid w:val="00D20002"/>
    <w:rsid w:val="00D212FE"/>
    <w:rsid w:val="00D300E9"/>
    <w:rsid w:val="00D42EFF"/>
    <w:rsid w:val="00D451C3"/>
    <w:rsid w:val="00D555AC"/>
    <w:rsid w:val="00D60B4D"/>
    <w:rsid w:val="00D628BE"/>
    <w:rsid w:val="00D64BFF"/>
    <w:rsid w:val="00D715C2"/>
    <w:rsid w:val="00D818D8"/>
    <w:rsid w:val="00D81B22"/>
    <w:rsid w:val="00DB3CF7"/>
    <w:rsid w:val="00DB6F58"/>
    <w:rsid w:val="00DC157F"/>
    <w:rsid w:val="00DC32DD"/>
    <w:rsid w:val="00DE7B33"/>
    <w:rsid w:val="00E044E0"/>
    <w:rsid w:val="00E05F3C"/>
    <w:rsid w:val="00E10F18"/>
    <w:rsid w:val="00E131EF"/>
    <w:rsid w:val="00E13E09"/>
    <w:rsid w:val="00E213F9"/>
    <w:rsid w:val="00E22E7D"/>
    <w:rsid w:val="00E23ED5"/>
    <w:rsid w:val="00E2412A"/>
    <w:rsid w:val="00E27526"/>
    <w:rsid w:val="00E40AA8"/>
    <w:rsid w:val="00E426A6"/>
    <w:rsid w:val="00E432B1"/>
    <w:rsid w:val="00E45928"/>
    <w:rsid w:val="00E47159"/>
    <w:rsid w:val="00E50A36"/>
    <w:rsid w:val="00E51044"/>
    <w:rsid w:val="00E867B3"/>
    <w:rsid w:val="00E914C7"/>
    <w:rsid w:val="00EA270F"/>
    <w:rsid w:val="00EA33C9"/>
    <w:rsid w:val="00EC1A52"/>
    <w:rsid w:val="00EC1C58"/>
    <w:rsid w:val="00EC563B"/>
    <w:rsid w:val="00EC6478"/>
    <w:rsid w:val="00ED0BB5"/>
    <w:rsid w:val="00ED12E2"/>
    <w:rsid w:val="00ED558E"/>
    <w:rsid w:val="00ED588F"/>
    <w:rsid w:val="00ED69FC"/>
    <w:rsid w:val="00ED7165"/>
    <w:rsid w:val="00ED76D9"/>
    <w:rsid w:val="00EE7725"/>
    <w:rsid w:val="00EE7AA4"/>
    <w:rsid w:val="00F1777B"/>
    <w:rsid w:val="00F20AF5"/>
    <w:rsid w:val="00F33CB2"/>
    <w:rsid w:val="00F3615F"/>
    <w:rsid w:val="00F36AD6"/>
    <w:rsid w:val="00F46906"/>
    <w:rsid w:val="00FB3E53"/>
    <w:rsid w:val="00FD5EAA"/>
    <w:rsid w:val="00FE2CAA"/>
    <w:rsid w:val="00FE6D42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59ECD-6DE4-487C-ADDC-C48C598C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2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A6C25"/>
    <w:pPr>
      <w:keepNext/>
      <w:outlineLvl w:val="4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sid w:val="00314DFE"/>
    <w:rPr>
      <w:rFonts w:ascii="Arial" w:hAnsi="Arial" w:cs="Arial"/>
      <w:b/>
      <w:color w:val="666699"/>
      <w:sz w:val="20"/>
    </w:rPr>
  </w:style>
  <w:style w:type="paragraph" w:styleId="ListParagraph">
    <w:name w:val="List Paragraph"/>
    <w:basedOn w:val="Normal"/>
    <w:uiPriority w:val="34"/>
    <w:qFormat/>
    <w:rsid w:val="00E0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D8AE-8506-4100-8507-2A51A3CC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C874BC81.dotm</Template>
  <TotalTime>1</TotalTime>
  <Pages>4</Pages>
  <Words>714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2009-01-13T10:54:00Z</cp:lastPrinted>
  <dcterms:created xsi:type="dcterms:W3CDTF">2019-06-14T11:43:00Z</dcterms:created>
  <dcterms:modified xsi:type="dcterms:W3CDTF">2019-06-14T11:43:00Z</dcterms:modified>
</cp:coreProperties>
</file>