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B97" w14:textId="07D32A26" w:rsidR="004F60A1" w:rsidRPr="00DB772C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DB772C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DB772C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 w:rsidRPr="00DB772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 w:rsidRPr="00DB772C">
        <w:rPr>
          <w:rFonts w:ascii="Arial" w:hAnsi="Arial" w:cs="Arial"/>
          <w:b/>
          <w:sz w:val="28"/>
          <w:szCs w:val="28"/>
          <w:lang w:val="en-GB"/>
        </w:rPr>
        <w:t>–</w:t>
      </w:r>
      <w:r w:rsidR="00594F30" w:rsidRPr="00DB772C">
        <w:rPr>
          <w:rFonts w:ascii="Arial" w:hAnsi="Arial" w:cs="Arial"/>
          <w:b/>
          <w:sz w:val="28"/>
          <w:szCs w:val="28"/>
          <w:lang w:val="en-GB"/>
        </w:rPr>
        <w:tab/>
      </w:r>
      <w:r w:rsidR="00594F30" w:rsidRPr="00DB772C">
        <w:rPr>
          <w:rFonts w:ascii="Arial" w:hAnsi="Arial" w:cs="Arial"/>
          <w:b/>
          <w:sz w:val="28"/>
          <w:szCs w:val="28"/>
          <w:lang w:val="en-GB"/>
        </w:rPr>
        <w:tab/>
      </w:r>
    </w:p>
    <w:p w14:paraId="1F6761D4" w14:textId="77777777" w:rsidR="00BF33B3" w:rsidRPr="00DB772C" w:rsidRDefault="00BF33B3" w:rsidP="00BF33B3">
      <w:pPr>
        <w:rPr>
          <w:rFonts w:ascii="Arial" w:hAnsi="Arial" w:cs="Arial"/>
          <w:sz w:val="28"/>
          <w:szCs w:val="28"/>
          <w:lang w:val="en-GB"/>
        </w:rPr>
      </w:pPr>
    </w:p>
    <w:p w14:paraId="5C20D0EA" w14:textId="77777777" w:rsidR="00BF33B3" w:rsidRPr="00DB772C" w:rsidRDefault="00BF33B3" w:rsidP="00BF33B3">
      <w:pPr>
        <w:rPr>
          <w:rFonts w:ascii="Arial" w:hAnsi="Arial" w:cs="Arial"/>
          <w:b/>
          <w:sz w:val="20"/>
          <w:szCs w:val="20"/>
          <w:lang w:val="en-GB"/>
        </w:rPr>
      </w:pPr>
      <w:r w:rsidRPr="00DB772C">
        <w:rPr>
          <w:rFonts w:ascii="Arial" w:hAnsi="Arial" w:cs="Arial"/>
          <w:sz w:val="20"/>
          <w:szCs w:val="20"/>
          <w:lang w:val="en-GB"/>
        </w:rPr>
        <w:t>Note: numbers in brackets () – please refer to the separate Guidance Notes.</w:t>
      </w:r>
    </w:p>
    <w:p w14:paraId="71FB851C" w14:textId="77777777" w:rsidR="004F60A1" w:rsidRPr="00DB772C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31"/>
        <w:gridCol w:w="1288"/>
        <w:gridCol w:w="1301"/>
        <w:gridCol w:w="851"/>
        <w:gridCol w:w="360"/>
        <w:gridCol w:w="1818"/>
        <w:gridCol w:w="2499"/>
      </w:tblGrid>
      <w:tr w:rsidR="00C53AA1" w:rsidRPr="00DB772C" w14:paraId="6FC405A7" w14:textId="77777777" w:rsidTr="009341B0">
        <w:tc>
          <w:tcPr>
            <w:tcW w:w="223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592E76C9" w14:textId="77777777" w:rsidR="00C53AA1" w:rsidRPr="00DB772C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FE159" w14:textId="4AD8F7D3" w:rsidR="00C53AA1" w:rsidRPr="00DB772C" w:rsidRDefault="00AE34F3" w:rsidP="0036324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Procurement </w:t>
            </w:r>
            <w:r w:rsidR="002C6C87" w:rsidRPr="00DB772C">
              <w:rPr>
                <w:rFonts w:ascii="Arial" w:hAnsi="Arial" w:cs="Arial"/>
                <w:sz w:val="20"/>
                <w:szCs w:val="20"/>
                <w:lang w:val="en-GB"/>
              </w:rPr>
              <w:t>Manager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38C4F57D" w14:textId="615A80A3" w:rsidR="00C53AA1" w:rsidRPr="00DB772C" w:rsidRDefault="005B6DBC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A944C" w14:textId="202E83DB" w:rsidR="00C53AA1" w:rsidRPr="00DB772C" w:rsidRDefault="00251757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6BE82A48" w14:textId="77777777" w:rsidR="00C53AA1" w:rsidRPr="00DB772C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AB03F7" w14:textId="77777777" w:rsidR="00C53AA1" w:rsidRPr="00DB772C" w:rsidRDefault="00AE34F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Finance</w:t>
            </w:r>
          </w:p>
        </w:tc>
      </w:tr>
      <w:tr w:rsidR="007A5191" w:rsidRPr="00DB772C" w14:paraId="0C48CF52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E19B939" w14:textId="77777777" w:rsidR="007A5191" w:rsidRPr="00DB772C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(1)</w:t>
            </w: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E3ACBA" w14:textId="77777777" w:rsidR="007A5191" w:rsidRPr="00DB772C" w:rsidRDefault="00AE34F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Head of Finance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14:paraId="7866406C" w14:textId="77777777" w:rsidR="007A5191" w:rsidRPr="00DB772C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(1)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C25BCF" w14:textId="77777777" w:rsidR="007A5191" w:rsidRPr="00DB772C" w:rsidRDefault="00AE34F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C512A" w:rsidRPr="00DB772C" w14:paraId="184BBD94" w14:textId="77777777" w:rsidTr="009341B0">
        <w:trPr>
          <w:trHeight w:val="413"/>
        </w:trPr>
        <w:tc>
          <w:tcPr>
            <w:tcW w:w="22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60463C54" w14:textId="77777777" w:rsidR="001C512A" w:rsidRPr="00DB772C" w:rsidRDefault="001C512A" w:rsidP="009341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(1)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853D8F" w14:textId="77777777" w:rsidR="001C512A" w:rsidRPr="00DB772C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DB772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973EA9" w14:textId="28F44860" w:rsidR="001C512A" w:rsidRPr="00DB772C" w:rsidRDefault="00AE34F3" w:rsidP="00D6631E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 xml:space="preserve">Finance; Company Secretary; </w:t>
            </w:r>
            <w:r w:rsidR="002D79A1" w:rsidRPr="00DB772C">
              <w:rPr>
                <w:rFonts w:ascii="Arial" w:hAnsi="Arial" w:cs="Arial"/>
                <w:sz w:val="20"/>
                <w:szCs w:val="20"/>
              </w:rPr>
              <w:t>Leadership Team</w:t>
            </w:r>
            <w:r w:rsidRPr="00DB772C">
              <w:rPr>
                <w:rFonts w:ascii="Arial" w:hAnsi="Arial" w:cs="Arial"/>
                <w:sz w:val="20"/>
                <w:szCs w:val="20"/>
              </w:rPr>
              <w:t xml:space="preserve">; Departmental Heads; </w:t>
            </w:r>
            <w:r w:rsidR="001C4E89" w:rsidRPr="00DB772C">
              <w:rPr>
                <w:rFonts w:ascii="Arial" w:hAnsi="Arial" w:cs="Arial"/>
                <w:sz w:val="20"/>
                <w:szCs w:val="20"/>
              </w:rPr>
              <w:t>Budget Holders</w:t>
            </w:r>
            <w:r w:rsidRPr="00DB77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512A" w:rsidRPr="00DB772C" w14:paraId="22A76F09" w14:textId="77777777" w:rsidTr="009341B0">
        <w:trPr>
          <w:trHeight w:val="412"/>
        </w:trPr>
        <w:tc>
          <w:tcPr>
            <w:tcW w:w="223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CB4903D" w14:textId="77777777" w:rsidR="001C512A" w:rsidRPr="00DB772C" w:rsidRDefault="001C512A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0E33DA" w14:textId="77777777" w:rsidR="001C512A" w:rsidRPr="00DB772C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DB77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E7F4CF" w14:textId="36C2147D" w:rsidR="001C512A" w:rsidRPr="00DB772C" w:rsidRDefault="00AE34F3" w:rsidP="009341B0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 xml:space="preserve">Third-party suppliers and contractors; Banking services; </w:t>
            </w:r>
            <w:r w:rsidR="00E15A27" w:rsidRPr="00DB772C">
              <w:rPr>
                <w:rFonts w:ascii="Arial" w:hAnsi="Arial" w:cs="Arial"/>
                <w:sz w:val="20"/>
                <w:szCs w:val="20"/>
              </w:rPr>
              <w:t xml:space="preserve">Insurance Brokers; </w:t>
            </w:r>
            <w:r w:rsidRPr="00DB772C">
              <w:rPr>
                <w:rFonts w:ascii="Arial" w:hAnsi="Arial" w:cs="Arial"/>
                <w:sz w:val="20"/>
                <w:szCs w:val="20"/>
              </w:rPr>
              <w:t>Pension provider</w:t>
            </w:r>
          </w:p>
        </w:tc>
      </w:tr>
      <w:tr w:rsidR="00802CBC" w:rsidRPr="00DB772C" w14:paraId="0ECFD53F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0C5B6AD7" w14:textId="77777777" w:rsidR="00D451C3" w:rsidRPr="00DB772C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1E60EC" w14:textId="77777777" w:rsidR="00802CBC" w:rsidRPr="00DB772C" w:rsidRDefault="00802CBC" w:rsidP="009341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2)</w:t>
            </w:r>
          </w:p>
          <w:p w14:paraId="6A78F4A8" w14:textId="77777777" w:rsidR="00D451C3" w:rsidRPr="00DB772C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69C497" w14:textId="77777777" w:rsidR="00B56904" w:rsidRPr="00DB772C" w:rsidRDefault="00083329" w:rsidP="004A3D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Responsible for managing the end to end sourcing process and the implementation of the sourcing plans in relation to all goods and services.</w:t>
            </w:r>
          </w:p>
          <w:p w14:paraId="3D4EB057" w14:textId="4BA24B51" w:rsidR="002323B9" w:rsidRPr="00DB772C" w:rsidRDefault="0095354C" w:rsidP="004A3D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L</w:t>
            </w:r>
            <w:r w:rsidR="00083329" w:rsidRPr="00DB772C">
              <w:rPr>
                <w:rFonts w:ascii="Arial" w:hAnsi="Arial" w:cs="Arial"/>
                <w:sz w:val="20"/>
                <w:szCs w:val="20"/>
              </w:rPr>
              <w:t xml:space="preserve">ead and maintain contract management and supplier performance activity for key </w:t>
            </w:r>
            <w:r w:rsidRPr="00DB772C">
              <w:rPr>
                <w:rFonts w:ascii="Arial" w:hAnsi="Arial" w:cs="Arial"/>
                <w:sz w:val="20"/>
                <w:szCs w:val="20"/>
              </w:rPr>
              <w:t>suppliers</w:t>
            </w:r>
            <w:r w:rsidR="00421AF6" w:rsidRPr="00DB772C">
              <w:rPr>
                <w:rFonts w:ascii="Arial" w:hAnsi="Arial" w:cs="Arial"/>
                <w:sz w:val="20"/>
                <w:szCs w:val="20"/>
              </w:rPr>
              <w:t xml:space="preserve"> and purchasers</w:t>
            </w:r>
            <w:r w:rsidRPr="00DB77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0272B" w:rsidRPr="00DB772C" w14:paraId="6B8AF1B1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56348AFB" w14:textId="77777777" w:rsidR="00D451C3" w:rsidRPr="00DB772C" w:rsidRDefault="00D0272B" w:rsidP="009341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3)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96014F" w14:textId="76F12446" w:rsidR="00B56904" w:rsidRPr="00DB772C" w:rsidRDefault="00B56904" w:rsidP="009341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 xml:space="preserve">Working with stakeholders to document specifications, define sourcing strategies for key projects, analyse RFP output, negotiate commercial terms, and </w:t>
            </w:r>
            <w:r w:rsidR="00CD4F9D" w:rsidRPr="00DB772C">
              <w:rPr>
                <w:rFonts w:ascii="Arial" w:hAnsi="Arial" w:cs="Arial"/>
                <w:sz w:val="20"/>
                <w:szCs w:val="20"/>
              </w:rPr>
              <w:t xml:space="preserve">supplier and purchaser </w:t>
            </w:r>
            <w:r w:rsidRPr="00DB772C">
              <w:rPr>
                <w:rFonts w:ascii="Arial" w:hAnsi="Arial" w:cs="Arial"/>
                <w:sz w:val="20"/>
                <w:szCs w:val="20"/>
              </w:rPr>
              <w:t xml:space="preserve">contract agreement drafting. </w:t>
            </w:r>
          </w:p>
          <w:p w14:paraId="2C185B1E" w14:textId="4E98C5D8" w:rsidR="00B56904" w:rsidRPr="00DB772C" w:rsidRDefault="00902DD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The role holder </w:t>
            </w:r>
            <w:r w:rsidR="008A302C" w:rsidRPr="00DB772C">
              <w:rPr>
                <w:rFonts w:ascii="Arial" w:hAnsi="Arial" w:cs="Arial"/>
                <w:sz w:val="20"/>
                <w:szCs w:val="20"/>
                <w:lang w:val="en-GB"/>
              </w:rPr>
              <w:t>will be the specific point of contact for all procurement and contract activities.</w:t>
            </w: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This includes, but is not limited </w:t>
            </w:r>
            <w:r w:rsidR="008A302C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to, </w:t>
            </w:r>
            <w:r w:rsidR="0095354C" w:rsidRPr="00DB772C">
              <w:rPr>
                <w:rFonts w:ascii="Arial" w:hAnsi="Arial" w:cs="Arial"/>
                <w:sz w:val="20"/>
                <w:szCs w:val="20"/>
                <w:lang w:val="en-GB"/>
              </w:rPr>
              <w:t>maintaining,</w:t>
            </w:r>
            <w:r w:rsidR="008A302C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and updating the procurement policy,</w:t>
            </w:r>
            <w:r w:rsidR="0095354C" w:rsidRPr="00DB7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54C" w:rsidRPr="00DB772C">
              <w:rPr>
                <w:rFonts w:ascii="Arial" w:hAnsi="Arial" w:cs="Arial"/>
                <w:sz w:val="20"/>
                <w:szCs w:val="20"/>
                <w:lang w:val="en-GB"/>
              </w:rPr>
              <w:t>along with other templates such as the sourcing and contract approval form</w:t>
            </w:r>
            <w:r w:rsidR="00CD4F9D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5354C" w:rsidRPr="00DB772C">
              <w:rPr>
                <w:rFonts w:ascii="Arial" w:hAnsi="Arial" w:cs="Arial"/>
                <w:sz w:val="20"/>
                <w:szCs w:val="20"/>
                <w:lang w:val="en-GB"/>
              </w:rPr>
              <w:t>RFP templates</w:t>
            </w:r>
            <w:r w:rsidR="00CD4F9D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and APM’s </w:t>
            </w:r>
            <w:r w:rsidR="00000F85" w:rsidRPr="00DB772C">
              <w:rPr>
                <w:rFonts w:ascii="Arial" w:hAnsi="Arial" w:cs="Arial"/>
                <w:sz w:val="20"/>
                <w:szCs w:val="20"/>
                <w:lang w:val="en-GB"/>
              </w:rPr>
              <w:t>suite of contract templates and standard terms and conditions</w:t>
            </w:r>
            <w:r w:rsidR="0095354C" w:rsidRPr="00DB772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8C4A8C2" w14:textId="3D6C5E12" w:rsidR="00C31348" w:rsidRPr="00DB772C" w:rsidRDefault="00B56904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A ‘critical friend’ to APM’s stakeholders and suppliers</w:t>
            </w:r>
          </w:p>
        </w:tc>
      </w:tr>
      <w:tr w:rsidR="00331B07" w:rsidRPr="00DB772C" w14:paraId="361A31F5" w14:textId="77777777" w:rsidTr="009341B0">
        <w:tc>
          <w:tcPr>
            <w:tcW w:w="223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C66FDA0" w14:textId="77777777" w:rsidR="00331B07" w:rsidRPr="00DB772C" w:rsidRDefault="00331B07" w:rsidP="009341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4)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61CB360" w14:textId="77777777" w:rsidR="00331B07" w:rsidRPr="00DB772C" w:rsidRDefault="00AE34F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As per the APM delegated authorities.</w:t>
            </w:r>
          </w:p>
        </w:tc>
      </w:tr>
    </w:tbl>
    <w:p w14:paraId="25FB53CE" w14:textId="77777777" w:rsidR="00EA33C9" w:rsidRPr="00DB772C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35CACA79" w14:textId="77777777" w:rsidR="00BF33B3" w:rsidRPr="00DB772C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3FC6461E" w14:textId="77777777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347CD5A6" w14:textId="77777777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341D1899" w14:textId="2483D20F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701E51D4" w14:textId="4F1CC6B4" w:rsidR="008C2E3E" w:rsidRPr="00DB772C" w:rsidRDefault="008C2E3E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1DFFC893" w14:textId="77777777" w:rsidR="006917F4" w:rsidRPr="00DB772C" w:rsidRDefault="006917F4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751DC386" w14:textId="11E2DCAD" w:rsidR="008C2E3E" w:rsidRPr="00DB772C" w:rsidRDefault="008C2E3E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47388907" w14:textId="77777777" w:rsidR="008C2E3E" w:rsidRPr="00DB772C" w:rsidRDefault="008C2E3E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5B457082" w14:textId="77777777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11FA1DA5" w14:textId="0AE9B72D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4324F1FE" w14:textId="7B648366" w:rsidR="00A8698A" w:rsidRPr="00DB772C" w:rsidRDefault="00A8698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5A11CFFF" w14:textId="786551DC" w:rsidR="00A8698A" w:rsidRPr="00DB772C" w:rsidRDefault="00A8698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62025829" w14:textId="77777777" w:rsidR="00A8698A" w:rsidRPr="00DB772C" w:rsidRDefault="00A8698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4350046E" w14:textId="77777777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6FC6C05B" w14:textId="77777777" w:rsidR="0036435A" w:rsidRPr="00DB772C" w:rsidRDefault="0036435A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36CE5F71" w14:textId="77777777" w:rsidR="00BF33B3" w:rsidRPr="00DB772C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D5BAA" w:rsidRPr="00DB772C" w14:paraId="397DB9CE" w14:textId="77777777" w:rsidTr="009341B0">
        <w:trPr>
          <w:tblHeader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2630399C" w14:textId="77777777" w:rsidR="00653C53" w:rsidRPr="00DB772C" w:rsidRDefault="00653C53" w:rsidP="00934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1EDB0F" w14:textId="77777777" w:rsidR="006D5BAA" w:rsidRPr="00DB772C" w:rsidRDefault="006D5BAA" w:rsidP="009341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responsibilities / </w:t>
            </w:r>
            <w:r w:rsidR="00C31348" w:rsidRPr="00DB77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accountabilities </w:t>
            </w:r>
            <w:r w:rsidR="000D4D11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D0272B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5</w:t>
            </w:r>
            <w:r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71C68991" w14:textId="77777777" w:rsidR="00653C53" w:rsidRPr="00DB772C" w:rsidRDefault="00653C53" w:rsidP="00934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68986593" w14:textId="77777777" w:rsidR="006D5BAA" w:rsidRPr="00DB772C" w:rsidRDefault="006D5BAA" w:rsidP="009341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  <w:lang w:val="en-GB"/>
              </w:rPr>
              <w:t>Key performance measures</w:t>
            </w:r>
            <w:r w:rsidR="00E22E7D" w:rsidRPr="00DB77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22E7D" w:rsidRPr="00DB772C">
              <w:rPr>
                <w:rFonts w:ascii="Arial" w:hAnsi="Arial" w:cs="Arial"/>
                <w:i/>
                <w:sz w:val="20"/>
                <w:szCs w:val="20"/>
                <w:lang w:val="en-GB"/>
              </w:rPr>
              <w:t>(6)</w:t>
            </w:r>
          </w:p>
        </w:tc>
      </w:tr>
      <w:tr w:rsidR="0003558C" w:rsidRPr="00DB772C" w14:paraId="71E08BD2" w14:textId="77777777" w:rsidTr="009341B0">
        <w:tc>
          <w:tcPr>
            <w:tcW w:w="1031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74DE1EA" w14:textId="77777777" w:rsidR="0003558C" w:rsidRPr="00DB772C" w:rsidRDefault="0003558C" w:rsidP="009341B0">
            <w:pPr>
              <w:spacing w:before="36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DB772C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</w:t>
            </w:r>
          </w:p>
        </w:tc>
      </w:tr>
      <w:tr w:rsidR="008C2E3E" w:rsidRPr="00DB772C" w14:paraId="0C0B31D8" w14:textId="77777777" w:rsidTr="009341B0">
        <w:tc>
          <w:tcPr>
            <w:tcW w:w="5637" w:type="dxa"/>
            <w:tcBorders>
              <w:top w:val="single" w:sz="12" w:space="0" w:color="auto"/>
            </w:tcBorders>
            <w:vAlign w:val="center"/>
          </w:tcPr>
          <w:p w14:paraId="236147E5" w14:textId="1B3094EB" w:rsidR="008C2E3E" w:rsidRPr="00DB772C" w:rsidRDefault="008C2E3E" w:rsidP="008C2E3E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Implementation of the sourcing plan by leading the end to end sourcing process and setting up the performance management plans.</w:t>
            </w:r>
            <w:r w:rsidRPr="00DB77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660FED30" w14:textId="4FE25F8C" w:rsidR="008C2E3E" w:rsidRPr="00DB772C" w:rsidRDefault="008C2E3E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Regularly review sourcing plans with Leadership Team and budget holders. Ensure best value for money for the budget and improved terms of business.</w:t>
            </w:r>
          </w:p>
        </w:tc>
      </w:tr>
      <w:tr w:rsidR="001173A6" w:rsidRPr="00DB772C" w14:paraId="450FDF01" w14:textId="77777777" w:rsidTr="009341B0">
        <w:tc>
          <w:tcPr>
            <w:tcW w:w="5637" w:type="dxa"/>
            <w:tcBorders>
              <w:top w:val="single" w:sz="12" w:space="0" w:color="auto"/>
            </w:tcBorders>
            <w:vAlign w:val="center"/>
          </w:tcPr>
          <w:p w14:paraId="4E60F1DF" w14:textId="77777777" w:rsidR="001173A6" w:rsidRPr="00DB772C" w:rsidRDefault="0036435A" w:rsidP="009341B0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Continuously review overhead costs to analyse where cost savings can be made without sacrificing quality and supplier relationships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4B8C0F22" w14:textId="77777777" w:rsidR="008E76EE" w:rsidRPr="00DB772C" w:rsidRDefault="00AA53DC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Compare overhead costs between periods once a cost reduction programme has been initiated. Analyse any cost of </w:t>
            </w:r>
            <w:r w:rsidR="008E76EE" w:rsidRPr="00DB772C">
              <w:rPr>
                <w:rFonts w:ascii="Arial" w:hAnsi="Arial" w:cs="Arial"/>
                <w:sz w:val="20"/>
                <w:szCs w:val="20"/>
                <w:lang w:val="en-GB"/>
              </w:rPr>
              <w:t>poor-quality</w:t>
            </w: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complaints to assess whether they are related to the cost reductions.</w:t>
            </w:r>
          </w:p>
          <w:p w14:paraId="782BD824" w14:textId="5433352E" w:rsidR="001173A6" w:rsidRPr="00DB772C" w:rsidRDefault="008E76EE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Implement a savings tracker which also monitors added value</w:t>
            </w:r>
          </w:p>
        </w:tc>
      </w:tr>
      <w:tr w:rsidR="00770D3C" w:rsidRPr="00DB772C" w14:paraId="7F1CD673" w14:textId="77777777" w:rsidTr="009341B0">
        <w:tc>
          <w:tcPr>
            <w:tcW w:w="5637" w:type="dxa"/>
            <w:vAlign w:val="center"/>
          </w:tcPr>
          <w:p w14:paraId="0CEB0202" w14:textId="77777777" w:rsidR="00770D3C" w:rsidRPr="00DB772C" w:rsidRDefault="00D11C42" w:rsidP="00770D3C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 xml:space="preserve">Maintain and update </w:t>
            </w:r>
            <w:r w:rsidR="00B57844" w:rsidRPr="00DB772C">
              <w:rPr>
                <w:rFonts w:ascii="Arial" w:hAnsi="Arial" w:cs="Arial"/>
                <w:sz w:val="20"/>
                <w:szCs w:val="20"/>
              </w:rPr>
              <w:t xml:space="preserve">the contract register </w:t>
            </w:r>
          </w:p>
        </w:tc>
        <w:tc>
          <w:tcPr>
            <w:tcW w:w="4677" w:type="dxa"/>
            <w:vAlign w:val="center"/>
          </w:tcPr>
          <w:p w14:paraId="2EB8B5A2" w14:textId="60992438" w:rsidR="00770D3C" w:rsidRPr="00DB772C" w:rsidRDefault="00AA53DC" w:rsidP="00770D3C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Review contract register to ensure that</w:t>
            </w:r>
            <w:r w:rsidR="005C26FE" w:rsidRPr="00DB772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there are no obsolete contracts</w:t>
            </w:r>
            <w:r w:rsidR="005C26FE" w:rsidRPr="00DB772C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correct owners/departments are assigned to each contract</w:t>
            </w:r>
            <w:r w:rsidR="005C26FE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and each contract has a risk assigned to it.</w:t>
            </w:r>
          </w:p>
        </w:tc>
      </w:tr>
      <w:tr w:rsidR="001173A6" w:rsidRPr="00DB772C" w14:paraId="443BEDA4" w14:textId="77777777" w:rsidTr="009341B0">
        <w:tc>
          <w:tcPr>
            <w:tcW w:w="5637" w:type="dxa"/>
            <w:vAlign w:val="center"/>
          </w:tcPr>
          <w:p w14:paraId="105BE860" w14:textId="34934D2D" w:rsidR="001173A6" w:rsidRPr="00DB772C" w:rsidRDefault="00AA53DC" w:rsidP="00891A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D</w:t>
            </w:r>
            <w:r w:rsidR="00891AA9" w:rsidRPr="00DB772C">
              <w:rPr>
                <w:rFonts w:ascii="Arial" w:hAnsi="Arial" w:cs="Arial"/>
                <w:sz w:val="20"/>
                <w:szCs w:val="20"/>
              </w:rPr>
              <w:t xml:space="preserve">rafting </w:t>
            </w:r>
            <w:r w:rsidR="005E3ECC" w:rsidRPr="00DB772C">
              <w:rPr>
                <w:rFonts w:ascii="Arial" w:hAnsi="Arial" w:cs="Arial"/>
                <w:sz w:val="20"/>
                <w:szCs w:val="20"/>
              </w:rPr>
              <w:t xml:space="preserve">supplier and purchaser </w:t>
            </w:r>
            <w:r w:rsidR="00891AA9" w:rsidRPr="00DB772C">
              <w:rPr>
                <w:rFonts w:ascii="Arial" w:hAnsi="Arial" w:cs="Arial"/>
                <w:sz w:val="20"/>
                <w:szCs w:val="20"/>
              </w:rPr>
              <w:t xml:space="preserve">contracts, making sure we apply best practice, </w:t>
            </w:r>
            <w:r w:rsidR="008739E3" w:rsidRPr="00DB772C">
              <w:rPr>
                <w:rFonts w:ascii="Arial" w:hAnsi="Arial" w:cs="Arial"/>
                <w:sz w:val="20"/>
                <w:szCs w:val="20"/>
              </w:rPr>
              <w:t>ensuring compliance to GDPR</w:t>
            </w:r>
            <w:r w:rsidR="00F81929" w:rsidRPr="00DB77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39E3" w:rsidRPr="00DB7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AA9" w:rsidRPr="00DB772C">
              <w:rPr>
                <w:rFonts w:ascii="Arial" w:hAnsi="Arial" w:cs="Arial"/>
                <w:sz w:val="20"/>
                <w:szCs w:val="20"/>
              </w:rPr>
              <w:t>supporting managers to get the best possible outcome for APM.</w:t>
            </w:r>
          </w:p>
        </w:tc>
        <w:tc>
          <w:tcPr>
            <w:tcW w:w="4677" w:type="dxa"/>
            <w:vAlign w:val="center"/>
          </w:tcPr>
          <w:p w14:paraId="30EE6240" w14:textId="77777777" w:rsidR="001173A6" w:rsidRPr="00DB772C" w:rsidRDefault="00AA53DC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Hold regular meetings with those invo</w:t>
            </w:r>
            <w:r w:rsidR="00FE0909" w:rsidRPr="00DB772C">
              <w:rPr>
                <w:rFonts w:ascii="Arial" w:hAnsi="Arial" w:cs="Arial"/>
                <w:sz w:val="20"/>
                <w:szCs w:val="20"/>
                <w:lang w:val="en-GB"/>
              </w:rPr>
              <w:t>lved in the contract decision process.</w:t>
            </w:r>
          </w:p>
        </w:tc>
      </w:tr>
      <w:tr w:rsidR="001173A6" w:rsidRPr="00DB772C" w14:paraId="03D58039" w14:textId="77777777" w:rsidTr="009341B0">
        <w:tc>
          <w:tcPr>
            <w:tcW w:w="5637" w:type="dxa"/>
            <w:vAlign w:val="center"/>
          </w:tcPr>
          <w:p w14:paraId="79B8B882" w14:textId="1E963BC3" w:rsidR="001173A6" w:rsidRPr="00DB772C" w:rsidRDefault="00221EC5" w:rsidP="0043650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M</w:t>
            </w:r>
            <w:r w:rsidR="00B20377" w:rsidRPr="00DB772C">
              <w:rPr>
                <w:rFonts w:ascii="Arial" w:hAnsi="Arial" w:cs="Arial"/>
                <w:sz w:val="20"/>
                <w:szCs w:val="20"/>
              </w:rPr>
              <w:t>anage ongoing supplier performance</w:t>
            </w:r>
            <w:r w:rsidR="008E76EE" w:rsidRPr="00DB772C">
              <w:rPr>
                <w:rFonts w:ascii="Arial" w:hAnsi="Arial" w:cs="Arial"/>
                <w:sz w:val="20"/>
                <w:szCs w:val="20"/>
              </w:rPr>
              <w:t>. Negotiate with suppliers on all commercial terms (including remote and in person negotiations) and contribute to performance reviews to ensure contract compliance</w:t>
            </w:r>
          </w:p>
        </w:tc>
        <w:tc>
          <w:tcPr>
            <w:tcW w:w="4677" w:type="dxa"/>
            <w:vAlign w:val="center"/>
          </w:tcPr>
          <w:p w14:paraId="3E8B5F58" w14:textId="5E68C7F1" w:rsidR="001173A6" w:rsidRPr="00DB772C" w:rsidRDefault="00221EC5" w:rsidP="009341B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Engage with suppliers to understand supply base and services provided</w:t>
            </w:r>
          </w:p>
        </w:tc>
      </w:tr>
      <w:tr w:rsidR="00002328" w:rsidRPr="00DB772C" w14:paraId="57E31194" w14:textId="77777777" w:rsidTr="009341B0">
        <w:tc>
          <w:tcPr>
            <w:tcW w:w="5637" w:type="dxa"/>
            <w:vAlign w:val="center"/>
          </w:tcPr>
          <w:p w14:paraId="30A4C899" w14:textId="3CCD2254" w:rsidR="00002328" w:rsidRPr="00DB772C" w:rsidRDefault="00221EC5" w:rsidP="009341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72C">
              <w:rPr>
                <w:rFonts w:ascii="Arial" w:hAnsi="Arial" w:cs="Arial"/>
                <w:sz w:val="20"/>
                <w:szCs w:val="20"/>
              </w:rPr>
              <w:t>R</w:t>
            </w:r>
            <w:r w:rsidR="00B20377" w:rsidRPr="00DB772C">
              <w:rPr>
                <w:rFonts w:ascii="Arial" w:hAnsi="Arial" w:cs="Arial"/>
                <w:sz w:val="20"/>
                <w:szCs w:val="20"/>
              </w:rPr>
              <w:t>ationalise</w:t>
            </w:r>
            <w:proofErr w:type="spellEnd"/>
            <w:r w:rsidR="00B20377" w:rsidRPr="00DB772C">
              <w:rPr>
                <w:rFonts w:ascii="Arial" w:hAnsi="Arial" w:cs="Arial"/>
                <w:sz w:val="20"/>
                <w:szCs w:val="20"/>
              </w:rPr>
              <w:t xml:space="preserve"> the supply base</w:t>
            </w:r>
          </w:p>
        </w:tc>
        <w:tc>
          <w:tcPr>
            <w:tcW w:w="4677" w:type="dxa"/>
            <w:vAlign w:val="center"/>
          </w:tcPr>
          <w:p w14:paraId="3CB070C5" w14:textId="493BFB9D" w:rsidR="00F304DA" w:rsidRPr="00DB772C" w:rsidRDefault="00221EC5" w:rsidP="009A4F8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Instigate and maintain a preferred supplier list for areas of consistent spend</w:t>
            </w:r>
          </w:p>
        </w:tc>
      </w:tr>
      <w:tr w:rsidR="009E44B7" w:rsidRPr="00DB772C" w14:paraId="6402DE82" w14:textId="77777777" w:rsidTr="009341B0">
        <w:tc>
          <w:tcPr>
            <w:tcW w:w="5637" w:type="dxa"/>
            <w:vAlign w:val="center"/>
          </w:tcPr>
          <w:p w14:paraId="3D2636B4" w14:textId="64AD1D32" w:rsidR="009E44B7" w:rsidRPr="00DB772C" w:rsidRDefault="008E76EE" w:rsidP="009341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 xml:space="preserve">Highlighting and managing risk in the supply of products and services to APM </w:t>
            </w:r>
            <w:r w:rsidR="00B20377" w:rsidRPr="00DB772C">
              <w:rPr>
                <w:rFonts w:ascii="Arial" w:hAnsi="Arial" w:cs="Arial"/>
                <w:sz w:val="20"/>
                <w:szCs w:val="20"/>
              </w:rPr>
              <w:t>and ensure appropriate contractual coverage.</w:t>
            </w:r>
          </w:p>
        </w:tc>
        <w:tc>
          <w:tcPr>
            <w:tcW w:w="4677" w:type="dxa"/>
            <w:vAlign w:val="center"/>
          </w:tcPr>
          <w:p w14:paraId="7E0D6C5B" w14:textId="7A1F20B2" w:rsidR="00F304DA" w:rsidRPr="00DB772C" w:rsidRDefault="008E76EE" w:rsidP="009341B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Regularly review corporate risk register to assess whether risks can be mitigated through contract management.</w:t>
            </w:r>
          </w:p>
        </w:tc>
      </w:tr>
      <w:tr w:rsidR="00B768B0" w:rsidRPr="00DB772C" w14:paraId="049245C3" w14:textId="77777777" w:rsidTr="009341B0">
        <w:tc>
          <w:tcPr>
            <w:tcW w:w="5637" w:type="dxa"/>
            <w:vAlign w:val="center"/>
          </w:tcPr>
          <w:p w14:paraId="3697091B" w14:textId="512CA4E8" w:rsidR="00B768B0" w:rsidRPr="00DB772C" w:rsidRDefault="00161524" w:rsidP="00161524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Agreement drafting using APM contractual templates or supplier contracts (with support </w:t>
            </w:r>
            <w:r w:rsidR="005B05E9"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as necessary </w:t>
            </w:r>
            <w:r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from Company Secretary</w:t>
            </w:r>
            <w:r w:rsidR="005B05E9"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and external lawyers</w:t>
            </w:r>
            <w:r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677" w:type="dxa"/>
            <w:vAlign w:val="center"/>
          </w:tcPr>
          <w:p w14:paraId="5B45170D" w14:textId="595D3291" w:rsidR="00B768B0" w:rsidRPr="00DB772C" w:rsidRDefault="002702F3" w:rsidP="009341B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Sample </w:t>
            </w:r>
            <w:r w:rsidR="007C1C02" w:rsidRPr="00DB772C">
              <w:rPr>
                <w:rFonts w:ascii="Arial" w:hAnsi="Arial" w:cs="Arial"/>
                <w:sz w:val="20"/>
                <w:szCs w:val="20"/>
                <w:lang w:val="en-GB"/>
              </w:rPr>
              <w:t>check a number of contracts to ensure adherence to APM templates.</w:t>
            </w:r>
          </w:p>
        </w:tc>
      </w:tr>
      <w:tr w:rsidR="00161524" w:rsidRPr="00DB772C" w14:paraId="0FA00450" w14:textId="77777777" w:rsidTr="009341B0">
        <w:tc>
          <w:tcPr>
            <w:tcW w:w="5637" w:type="dxa"/>
            <w:vAlign w:val="center"/>
          </w:tcPr>
          <w:p w14:paraId="2F19FD50" w14:textId="50AC2A37" w:rsidR="00161524" w:rsidRPr="00DB772C" w:rsidRDefault="00161524" w:rsidP="00161524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7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The ongoing coaching of procurement skills to colleagues who will be undertaking buying as part of their role</w:t>
            </w:r>
            <w:r w:rsidRPr="00DB77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1317B5A4" w14:textId="38113D94" w:rsidR="00161524" w:rsidRPr="00DB772C" w:rsidRDefault="002702F3" w:rsidP="00F304DA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 Contract </w:t>
            </w:r>
            <w:r w:rsidR="007331D4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Management </w:t>
            </w: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and Negotiation training sessions to new starters and refresher sessions annually.</w:t>
            </w:r>
          </w:p>
        </w:tc>
      </w:tr>
    </w:tbl>
    <w:p w14:paraId="55D0143A" w14:textId="77777777" w:rsidR="00BF33B3" w:rsidRPr="00DB772C" w:rsidRDefault="00BF33B3">
      <w:pPr>
        <w:rPr>
          <w:rFonts w:ascii="Arial" w:hAnsi="Arial" w:cs="Arial"/>
          <w:sz w:val="20"/>
          <w:szCs w:val="20"/>
        </w:rPr>
      </w:pPr>
      <w:r w:rsidRPr="00DB772C">
        <w:rPr>
          <w:rFonts w:ascii="Arial" w:hAnsi="Arial" w:cs="Arial"/>
          <w:sz w:val="20"/>
          <w:szCs w:val="20"/>
        </w:rPr>
        <w:br w:type="page"/>
      </w:r>
    </w:p>
    <w:p w14:paraId="2AA4E697" w14:textId="77777777" w:rsidR="00D10750" w:rsidRPr="004D743E" w:rsidRDefault="00D10750" w:rsidP="00D10750">
      <w:pPr>
        <w:rPr>
          <w:rFonts w:ascii="Arial" w:hAnsi="Arial" w:cs="Arial"/>
          <w:b/>
          <w:sz w:val="28"/>
          <w:szCs w:val="28"/>
          <w:lang w:val="en-GB"/>
        </w:rPr>
      </w:pPr>
      <w:r w:rsidRPr="004D743E">
        <w:rPr>
          <w:rFonts w:ascii="Arial" w:hAnsi="Arial" w:cs="Arial"/>
          <w:b/>
          <w:sz w:val="28"/>
          <w:szCs w:val="28"/>
        </w:rPr>
        <w:lastRenderedPageBreak/>
        <w:t xml:space="preserve">Person Specification </w:t>
      </w:r>
    </w:p>
    <w:p w14:paraId="132EE974" w14:textId="77777777" w:rsidR="00D10750" w:rsidRPr="00DB772C" w:rsidRDefault="00D10750" w:rsidP="00D10750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D10750" w:rsidRPr="00DB772C" w14:paraId="106EEB1D" w14:textId="77777777" w:rsidTr="006A77A1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09BEBC45" w14:textId="77777777" w:rsidR="00D10750" w:rsidRPr="00DB772C" w:rsidRDefault="00D10750" w:rsidP="006A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75494E39" w14:textId="77777777" w:rsidR="00D10750" w:rsidRPr="00DB772C" w:rsidRDefault="00D10750" w:rsidP="006A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AD287" w14:textId="77777777" w:rsidR="00D10750" w:rsidRPr="00DB772C" w:rsidRDefault="00D10750" w:rsidP="006A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097B353A" w14:textId="77777777" w:rsidR="00D10750" w:rsidRPr="00DB772C" w:rsidRDefault="00D10750" w:rsidP="006A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56B59DAD" w14:textId="77777777" w:rsidR="00D10750" w:rsidRPr="00DB772C" w:rsidRDefault="00D10750" w:rsidP="006A7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Essential / desirable</w:t>
            </w:r>
          </w:p>
        </w:tc>
      </w:tr>
      <w:tr w:rsidR="00D10750" w:rsidRPr="00DB772C" w14:paraId="684F9670" w14:textId="77777777" w:rsidTr="006A77A1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3E7548" w14:textId="77777777" w:rsidR="00D10750" w:rsidRPr="00DB772C" w:rsidRDefault="00D10750" w:rsidP="00B8555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25F20C" w14:textId="77777777" w:rsidR="00D10750" w:rsidRPr="00DB772C" w:rsidRDefault="000D3F0D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Chartered Institute of Purchasing and Supply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C37440" w14:textId="0473DEF4" w:rsidR="00D10750" w:rsidRPr="00DB772C" w:rsidRDefault="002C6C87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FF56D5" w:rsidRPr="00DB772C" w14:paraId="1BF86C45" w14:textId="77777777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B22B3" w14:textId="77777777" w:rsidR="00FF56D5" w:rsidRPr="00DB772C" w:rsidRDefault="00FF56D5" w:rsidP="00FF56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A0A4F" w14:textId="56DF49BD" w:rsidR="00FF56D5" w:rsidRPr="00DB772C" w:rsidRDefault="004A5680" w:rsidP="00FF56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Involvement in</w:t>
            </w:r>
            <w:r w:rsidR="006917F4"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F56D5" w:rsidRPr="00DB772C">
              <w:rPr>
                <w:rFonts w:ascii="Arial" w:hAnsi="Arial" w:cs="Arial"/>
                <w:sz w:val="20"/>
                <w:szCs w:val="20"/>
                <w:lang w:val="en-GB"/>
              </w:rPr>
              <w:t>all types of supplier spend especially Marketing, IT and Facilities</w:t>
            </w:r>
          </w:p>
          <w:p w14:paraId="710A3F34" w14:textId="28D3A63E" w:rsidR="00FF56D5" w:rsidRPr="00DB772C" w:rsidRDefault="00FF56D5" w:rsidP="00FF56D5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72C">
              <w:rPr>
                <w:rFonts w:ascii="Arial" w:hAnsi="Arial" w:cs="Arial"/>
                <w:color w:val="auto"/>
                <w:sz w:val="20"/>
                <w:szCs w:val="20"/>
              </w:rPr>
              <w:t>Experience in legal contract drafting</w:t>
            </w:r>
            <w:r w:rsidR="00032566" w:rsidRPr="00DB772C">
              <w:rPr>
                <w:rFonts w:ascii="Arial" w:hAnsi="Arial" w:cs="Arial"/>
                <w:color w:val="auto"/>
                <w:sz w:val="20"/>
                <w:szCs w:val="20"/>
              </w:rPr>
              <w:t xml:space="preserve"> and review</w:t>
            </w:r>
          </w:p>
          <w:p w14:paraId="6D7F08F6" w14:textId="6CBE7CF8" w:rsidR="00FF56D5" w:rsidRPr="00DB772C" w:rsidRDefault="00FF56D5" w:rsidP="00FF56D5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color w:val="auto"/>
                <w:sz w:val="20"/>
                <w:szCs w:val="20"/>
              </w:rPr>
              <w:t>Proven negotiation record across all categories of spend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1B1C3" w14:textId="2591410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8ED593C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C0031EA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D87C0B3" w14:textId="4DECE0BC" w:rsidR="00FF56D5" w:rsidRPr="00DB772C" w:rsidRDefault="00FF56D5" w:rsidP="004A0FBD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D5" w:rsidRPr="00DB772C" w14:paraId="0FABC6FE" w14:textId="77777777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E535B" w14:textId="77777777" w:rsidR="00FF56D5" w:rsidRPr="00DB772C" w:rsidRDefault="00FF56D5" w:rsidP="00FF5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09E0D" w14:textId="23FFAA53" w:rsidR="00FF56D5" w:rsidRPr="00DB772C" w:rsidRDefault="00FF56D5" w:rsidP="00FF56D5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color w:val="auto"/>
                <w:sz w:val="20"/>
                <w:szCs w:val="20"/>
              </w:rPr>
              <w:t xml:space="preserve">Strong aptitude and knowledge of full sourcing life cycle and awareness of market trends and suppliers 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C4A4F" w14:textId="6895AE08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FF56D5" w:rsidRPr="00DB772C" w14:paraId="097A26C1" w14:textId="77777777" w:rsidTr="006A77A1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4BFDAF5A" w14:textId="77777777" w:rsidR="00FF56D5" w:rsidRPr="00DB772C" w:rsidRDefault="00FF56D5" w:rsidP="00FF5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14:paraId="7A35663D" w14:textId="34E311A3" w:rsidR="00FF56D5" w:rsidRPr="00DB772C" w:rsidRDefault="00FF56D5" w:rsidP="00FF56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 xml:space="preserve">Strong business and financial acumen with ability to evaluate, analyse and solve problems </w:t>
            </w:r>
          </w:p>
          <w:p w14:paraId="479CC909" w14:textId="7C731CFB" w:rsidR="00FF56D5" w:rsidRPr="00DB772C" w:rsidRDefault="00FF56D5" w:rsidP="00932512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z w:val="20"/>
                <w:szCs w:val="20"/>
                <w:lang w:val="en-GB"/>
              </w:rPr>
              <w:t>Ability to influence, align views and gain consensus and provide clarity on what needs to be achieved</w:t>
            </w:r>
            <w:r w:rsidRPr="00DB772C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75463A7" w14:textId="77777777" w:rsidR="00932512" w:rsidRPr="00DB772C" w:rsidRDefault="00932512" w:rsidP="00932512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Ability to be able to articulate how Procurement works and provide direction and flexibility when a ‘one size fits all’ approach doesn’t work</w:t>
            </w:r>
          </w:p>
          <w:p w14:paraId="7BD8A180" w14:textId="77777777" w:rsidR="00932512" w:rsidRPr="00DB772C" w:rsidRDefault="00932512" w:rsidP="00932512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Ability to resolve conflicting priorities and manage crises </w:t>
            </w:r>
          </w:p>
          <w:p w14:paraId="48384A88" w14:textId="77777777" w:rsidR="00932512" w:rsidRPr="00DB772C" w:rsidRDefault="00932512" w:rsidP="00932512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DB772C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Ability to operate effectively as a self-starter </w:t>
            </w:r>
          </w:p>
          <w:p w14:paraId="163CC765" w14:textId="77777777" w:rsidR="00FF56D5" w:rsidRPr="00DB772C" w:rsidRDefault="00932512" w:rsidP="00932512">
            <w:pPr>
              <w:pStyle w:val="Default"/>
              <w:numPr>
                <w:ilvl w:val="0"/>
                <w:numId w:val="16"/>
              </w:numPr>
              <w:tabs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color w:val="auto"/>
                <w:sz w:val="20"/>
                <w:szCs w:val="20"/>
              </w:rPr>
              <w:t>Commitment to service excellence and process improvement</w:t>
            </w:r>
          </w:p>
          <w:p w14:paraId="0230160D" w14:textId="77777777" w:rsidR="004A0FBD" w:rsidRPr="00DB772C" w:rsidRDefault="004A0FBD" w:rsidP="004A0FBD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DB772C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Negotiating and Influencing Skills</w:t>
            </w:r>
          </w:p>
          <w:p w14:paraId="61B2A01F" w14:textId="1A60FFA9" w:rsidR="004A0FBD" w:rsidRPr="00DB772C" w:rsidRDefault="004A0FBD" w:rsidP="004A0FBD">
            <w:pPr>
              <w:pStyle w:val="Default"/>
              <w:tabs>
                <w:tab w:val="right" w:pos="830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22198A3A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B7877B3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159B368" w14:textId="79017364" w:rsidR="00932512" w:rsidRPr="00DB772C" w:rsidRDefault="00932512" w:rsidP="00932512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78AE4A1" w14:textId="77777777" w:rsidR="00932512" w:rsidRPr="00DB772C" w:rsidRDefault="00932512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67262EE" w14:textId="0DA4839C" w:rsidR="00932512" w:rsidRPr="00DB772C" w:rsidRDefault="00932512" w:rsidP="009325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4861B8" w14:textId="77777777" w:rsidR="00932512" w:rsidRPr="00DB772C" w:rsidRDefault="00932512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51A913D2" w14:textId="77777777" w:rsidR="00932512" w:rsidRPr="00DB772C" w:rsidRDefault="00932512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4799DE6" w14:textId="77777777" w:rsidR="00932512" w:rsidRPr="00DB772C" w:rsidRDefault="00932512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0DBC0A5" w14:textId="3931C15C" w:rsidR="00E2679B" w:rsidRPr="00DB772C" w:rsidRDefault="00E2679B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FF56D5" w:rsidRPr="00DB772C" w14:paraId="437C5314" w14:textId="77777777" w:rsidTr="006A77A1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2E2D5F0E" w14:textId="77777777" w:rsidR="00FF56D5" w:rsidRPr="00DB772C" w:rsidRDefault="00FF56D5" w:rsidP="00FF5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72C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DB772C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14:paraId="1DA4701F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486E10CB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Customer and Supplier Focus</w:t>
            </w:r>
          </w:p>
          <w:p w14:paraId="41870E6E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Working Together/Teamwork</w:t>
            </w:r>
          </w:p>
          <w:p w14:paraId="75416979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Confident</w:t>
            </w:r>
          </w:p>
          <w:p w14:paraId="69784D27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Problem Solving and Ownership</w:t>
            </w:r>
          </w:p>
          <w:p w14:paraId="4734B74C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Improvement, Change and Creativity</w:t>
            </w:r>
          </w:p>
          <w:p w14:paraId="4C68A830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Planning and Organising</w:t>
            </w:r>
          </w:p>
          <w:p w14:paraId="66092183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Organisational Commitment</w:t>
            </w:r>
          </w:p>
          <w:p w14:paraId="075783E6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14:paraId="4335BBFC" w14:textId="77777777" w:rsidR="00FF56D5" w:rsidRPr="00DB772C" w:rsidRDefault="00FF56D5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Articulate</w:t>
            </w:r>
          </w:p>
          <w:p w14:paraId="15929A84" w14:textId="1E77DDA2" w:rsidR="004A0FBD" w:rsidRPr="00DB772C" w:rsidRDefault="004A0FBD" w:rsidP="00F832F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Proactivity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43E74C6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5B1299F5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3A93786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DC4029F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3A559D1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973686A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B797AE7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E6CEC4C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3B20D88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50BDDFDD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F4209BD" w14:textId="77777777" w:rsidR="00FF56D5" w:rsidRPr="00DB772C" w:rsidRDefault="00FF56D5" w:rsidP="00FF56D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14:paraId="138C01AE" w14:textId="77777777" w:rsidR="00C267AE" w:rsidRPr="00DB772C" w:rsidRDefault="00C267AE" w:rsidP="00D10750">
      <w:pPr>
        <w:rPr>
          <w:rFonts w:ascii="Arial" w:hAnsi="Arial" w:cs="Arial"/>
          <w:b/>
          <w:sz w:val="20"/>
          <w:szCs w:val="20"/>
        </w:rPr>
      </w:pPr>
    </w:p>
    <w:p w14:paraId="7D293AC3" w14:textId="77777777" w:rsidR="00C267AE" w:rsidRPr="00DB772C" w:rsidRDefault="00C267AE" w:rsidP="00D10750">
      <w:pPr>
        <w:rPr>
          <w:rFonts w:ascii="Arial" w:hAnsi="Arial" w:cs="Arial"/>
          <w:b/>
          <w:sz w:val="20"/>
          <w:szCs w:val="20"/>
        </w:rPr>
      </w:pPr>
    </w:p>
    <w:p w14:paraId="31C040C7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3781E889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0DC2AC3C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005632D2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05E85E89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3E7F62BF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p w14:paraId="37FC0B58" w14:textId="77777777" w:rsidR="008F7E67" w:rsidRPr="00DB772C" w:rsidRDefault="008F7E67" w:rsidP="00D10750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C267AE" w:rsidRPr="00DB772C" w14:paraId="0FAA16FC" w14:textId="77777777" w:rsidTr="00211F81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5B4C0D61" w14:textId="77777777" w:rsidR="00C267AE" w:rsidRPr="00DB772C" w:rsidRDefault="00C267AE" w:rsidP="00DC4B9C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Supporting Behaviours</w:t>
            </w:r>
          </w:p>
        </w:tc>
      </w:tr>
      <w:tr w:rsidR="00C267AE" w:rsidRPr="00DB772C" w14:paraId="3EA61A34" w14:textId="77777777" w:rsidTr="00211F81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085BC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73C03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Description</w:t>
            </w:r>
          </w:p>
        </w:tc>
      </w:tr>
      <w:tr w:rsidR="00C267AE" w:rsidRPr="00DB772C" w14:paraId="05FE42C1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811F0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Communication</w:t>
            </w:r>
          </w:p>
          <w:p w14:paraId="38E4DDE2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0FBB2" w14:textId="77777777" w:rsidR="00C267AE" w:rsidRPr="00DB772C" w:rsidRDefault="00C267AE" w:rsidP="00211F81">
            <w:pPr>
              <w:numPr>
                <w:ilvl w:val="0"/>
                <w:numId w:val="37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Writes and speaks clearly, </w:t>
            </w:r>
            <w:proofErr w:type="gramStart"/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concisely</w:t>
            </w:r>
            <w:proofErr w:type="gramEnd"/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persuasively</w:t>
            </w:r>
          </w:p>
          <w:p w14:paraId="6F64B846" w14:textId="77777777" w:rsidR="00C267AE" w:rsidRPr="00DB772C" w:rsidRDefault="00C267AE" w:rsidP="00C267AE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C267AE" w:rsidRPr="00DB772C" w14:paraId="0BA4B52D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39A31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Customer and Supplier Focus</w:t>
            </w:r>
          </w:p>
          <w:p w14:paraId="504F067E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8EE90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C267AE" w:rsidRPr="00DB772C" w14:paraId="5E5C2F49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72EEE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Working Together / Teamwork</w:t>
            </w:r>
          </w:p>
          <w:p w14:paraId="1C60380C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2D583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Demonstrates strong team-working ethic and ability to work with a wide range of stakeholders at all levels</w:t>
            </w:r>
          </w:p>
          <w:p w14:paraId="2ED5E26D" w14:textId="77777777" w:rsidR="00C267AE" w:rsidRPr="00DB772C" w:rsidRDefault="00C267AE" w:rsidP="00C267AE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6917F4" w:rsidRPr="00DB772C" w14:paraId="29D4E4FD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6FF1A" w14:textId="17493DCC" w:rsidR="006917F4" w:rsidRPr="00DB772C" w:rsidRDefault="006917F4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Confident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55D31" w14:textId="12CAA7C2" w:rsidR="006917F4" w:rsidRPr="00DB772C" w:rsidRDefault="006917F4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Using acquired knowledge and experience to demonstrate a credible and self-assured presence in all communication</w:t>
            </w:r>
            <w:r w:rsidR="00F716DF"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C267AE" w:rsidRPr="00DB772C" w14:paraId="05562C80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0FB59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Problem Solving and Ownership</w:t>
            </w:r>
          </w:p>
          <w:p w14:paraId="7A673E46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D056E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Takes ownership of problems and can apply intellectual and creative skills to implementing solutions</w:t>
            </w:r>
          </w:p>
        </w:tc>
      </w:tr>
      <w:tr w:rsidR="00C267AE" w:rsidRPr="00DB772C" w14:paraId="1526671C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5CE51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Improvement, Change and Creativity</w:t>
            </w:r>
          </w:p>
          <w:p w14:paraId="51F8CC85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AF503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Willingness to challenge assumptions and ability to adapt or generate imaginative and innovative ideas</w:t>
            </w:r>
          </w:p>
        </w:tc>
      </w:tr>
      <w:tr w:rsidR="00C267AE" w:rsidRPr="00DB772C" w14:paraId="05D23BDC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E49AD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Planning and Organising</w:t>
            </w:r>
          </w:p>
          <w:p w14:paraId="3F6D6E01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21F573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Ability to develop clear, </w:t>
            </w:r>
            <w:proofErr w:type="gramStart"/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efficient</w:t>
            </w:r>
            <w:proofErr w:type="gramEnd"/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logical approaches to work</w:t>
            </w:r>
          </w:p>
        </w:tc>
      </w:tr>
      <w:tr w:rsidR="00C267AE" w:rsidRPr="00DB772C" w14:paraId="71EFA58F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4F1CCB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Organisational Commitment</w:t>
            </w:r>
          </w:p>
          <w:p w14:paraId="0F108897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0854D19D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A35D3" w14:textId="6483278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Can demonstrate commitment to the APM and actively </w:t>
            </w:r>
            <w:r w:rsidR="00623E71"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always embodies the values of the organization by maintaining a professional image</w:t>
            </w: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C267AE" w:rsidRPr="00DB772C" w14:paraId="744CA869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F4AD9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Resilience</w:t>
            </w:r>
          </w:p>
          <w:p w14:paraId="0CD72FE4" w14:textId="77777777" w:rsidR="00C267AE" w:rsidRPr="00DB772C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4F520" w14:textId="77777777" w:rsidR="00C267AE" w:rsidRPr="00DB772C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Ability to maintain control and performance during stressful situations</w:t>
            </w:r>
          </w:p>
        </w:tc>
      </w:tr>
      <w:tr w:rsidR="00F40356" w:rsidRPr="00DB772C" w14:paraId="5CF4DF97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932D4" w14:textId="117E2125" w:rsidR="00F40356" w:rsidRPr="00DB772C" w:rsidRDefault="00251757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Articulate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E22E" w14:textId="036C1A3F" w:rsidR="00F40356" w:rsidRPr="00DB772C" w:rsidRDefault="00251757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Able to express ideas clearly and effectively in speech or writing</w:t>
            </w:r>
          </w:p>
        </w:tc>
      </w:tr>
      <w:tr w:rsidR="00251757" w:rsidRPr="00DB772C" w14:paraId="24EE1796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527AC" w14:textId="69444685" w:rsidR="00251757" w:rsidRPr="00DB772C" w:rsidRDefault="00251757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Proactivity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FBE23" w14:textId="2A93F84E" w:rsidR="00251757" w:rsidRPr="00DB772C" w:rsidRDefault="00F716DF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B772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Acting in advance of a future situation, rather than reacting. Taking control of a situation and making early changes.</w:t>
            </w:r>
          </w:p>
        </w:tc>
      </w:tr>
    </w:tbl>
    <w:p w14:paraId="5105AB2F" w14:textId="5B46FF6D" w:rsidR="00092457" w:rsidRPr="00DB772C" w:rsidRDefault="00A117DA" w:rsidP="00C93B64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DB772C">
        <w:rPr>
          <w:rFonts w:ascii="Arial" w:hAnsi="Arial" w:cs="Arial"/>
          <w:spacing w:val="-2"/>
          <w:sz w:val="20"/>
          <w:szCs w:val="20"/>
        </w:rPr>
        <w:t xml:space="preserve"> </w:t>
      </w:r>
    </w:p>
    <w:sectPr w:rsidR="00092457" w:rsidRPr="00DB772C" w:rsidSect="00BF33B3">
      <w:headerReference w:type="default" r:id="rId10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4F08" w14:textId="77777777" w:rsidR="00A11EF8" w:rsidRDefault="00A11EF8">
      <w:r>
        <w:separator/>
      </w:r>
    </w:p>
  </w:endnote>
  <w:endnote w:type="continuationSeparator" w:id="0">
    <w:p w14:paraId="7947EDEC" w14:textId="77777777" w:rsidR="00A11EF8" w:rsidRDefault="00A1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54DB" w14:textId="77777777" w:rsidR="00A11EF8" w:rsidRDefault="00A11EF8">
      <w:r>
        <w:separator/>
      </w:r>
    </w:p>
  </w:footnote>
  <w:footnote w:type="continuationSeparator" w:id="0">
    <w:p w14:paraId="2D05C720" w14:textId="77777777" w:rsidR="00A11EF8" w:rsidRDefault="00A1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46C2" w14:textId="2B6703B0" w:rsidR="00A35F5C" w:rsidRDefault="00A35F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533B5" wp14:editId="7BAA874E">
          <wp:simplePos x="0" y="0"/>
          <wp:positionH relativeFrom="column">
            <wp:posOffset>-190500</wp:posOffset>
          </wp:positionH>
          <wp:positionV relativeFrom="paragraph">
            <wp:posOffset>-762635</wp:posOffset>
          </wp:positionV>
          <wp:extent cx="7542530" cy="1658486"/>
          <wp:effectExtent l="0" t="0" r="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_A4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30" cy="1658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1pt;height:31pt" o:bullet="t">
        <v:imagedata r:id="rId1" o:title="tszuji T small"/>
      </v:shape>
    </w:pict>
  </w:numPicBullet>
  <w:abstractNum w:abstractNumId="0" w15:restartNumberingAfterBreak="0">
    <w:nsid w:val="006D7694"/>
    <w:multiLevelType w:val="hybridMultilevel"/>
    <w:tmpl w:val="641C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9F9"/>
    <w:multiLevelType w:val="hybridMultilevel"/>
    <w:tmpl w:val="9AFE6B2C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49F"/>
    <w:multiLevelType w:val="hybridMultilevel"/>
    <w:tmpl w:val="A894DECA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623"/>
    <w:multiLevelType w:val="hybridMultilevel"/>
    <w:tmpl w:val="E692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B72F6"/>
    <w:multiLevelType w:val="hybridMultilevel"/>
    <w:tmpl w:val="7C3EE0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46EAA"/>
    <w:multiLevelType w:val="hybridMultilevel"/>
    <w:tmpl w:val="59E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87345"/>
    <w:multiLevelType w:val="hybridMultilevel"/>
    <w:tmpl w:val="8C52B9AE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4" w15:restartNumberingAfterBreak="0">
    <w:nsid w:val="429472BD"/>
    <w:multiLevelType w:val="hybridMultilevel"/>
    <w:tmpl w:val="27E4B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C61CB8"/>
    <w:multiLevelType w:val="hybridMultilevel"/>
    <w:tmpl w:val="EEE2D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629C4"/>
    <w:multiLevelType w:val="hybridMultilevel"/>
    <w:tmpl w:val="131A1AAA"/>
    <w:lvl w:ilvl="0" w:tplc="78D4C22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E1925"/>
    <w:multiLevelType w:val="hybridMultilevel"/>
    <w:tmpl w:val="F598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61C57"/>
    <w:multiLevelType w:val="hybridMultilevel"/>
    <w:tmpl w:val="F5BCCD5E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2083D"/>
    <w:multiLevelType w:val="hybridMultilevel"/>
    <w:tmpl w:val="B6CE94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F310F"/>
    <w:multiLevelType w:val="hybridMultilevel"/>
    <w:tmpl w:val="483A6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38"/>
  </w:num>
  <w:num w:numId="5">
    <w:abstractNumId w:val="31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10"/>
  </w:num>
  <w:num w:numId="11">
    <w:abstractNumId w:val="30"/>
  </w:num>
  <w:num w:numId="12">
    <w:abstractNumId w:val="25"/>
  </w:num>
  <w:num w:numId="13">
    <w:abstractNumId w:val="29"/>
  </w:num>
  <w:num w:numId="14">
    <w:abstractNumId w:val="4"/>
  </w:num>
  <w:num w:numId="15">
    <w:abstractNumId w:val="32"/>
  </w:num>
  <w:num w:numId="16">
    <w:abstractNumId w:val="37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35"/>
  </w:num>
  <w:num w:numId="22">
    <w:abstractNumId w:val="11"/>
  </w:num>
  <w:num w:numId="23">
    <w:abstractNumId w:val="7"/>
  </w:num>
  <w:num w:numId="24">
    <w:abstractNumId w:val="5"/>
  </w:num>
  <w:num w:numId="25">
    <w:abstractNumId w:val="13"/>
  </w:num>
  <w:num w:numId="26">
    <w:abstractNumId w:val="18"/>
  </w:num>
  <w:num w:numId="27">
    <w:abstractNumId w:val="6"/>
  </w:num>
  <w:num w:numId="28">
    <w:abstractNumId w:val="36"/>
  </w:num>
  <w:num w:numId="29">
    <w:abstractNumId w:val="34"/>
  </w:num>
  <w:num w:numId="30">
    <w:abstractNumId w:val="27"/>
  </w:num>
  <w:num w:numId="31">
    <w:abstractNumId w:val="2"/>
  </w:num>
  <w:num w:numId="32">
    <w:abstractNumId w:val="1"/>
  </w:num>
  <w:num w:numId="33">
    <w:abstractNumId w:val="24"/>
  </w:num>
  <w:num w:numId="34">
    <w:abstractNumId w:val="26"/>
  </w:num>
  <w:num w:numId="35">
    <w:abstractNumId w:val="28"/>
  </w:num>
  <w:num w:numId="36">
    <w:abstractNumId w:val="0"/>
  </w:num>
  <w:num w:numId="37">
    <w:abstractNumId w:val="3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3"/>
    <w:rsid w:val="00000F85"/>
    <w:rsid w:val="00002328"/>
    <w:rsid w:val="00003119"/>
    <w:rsid w:val="00014AC0"/>
    <w:rsid w:val="00032566"/>
    <w:rsid w:val="00033C5D"/>
    <w:rsid w:val="0003558C"/>
    <w:rsid w:val="000418F3"/>
    <w:rsid w:val="00083329"/>
    <w:rsid w:val="0008357A"/>
    <w:rsid w:val="000905E1"/>
    <w:rsid w:val="00092457"/>
    <w:rsid w:val="0009324B"/>
    <w:rsid w:val="00096E50"/>
    <w:rsid w:val="000A2DCB"/>
    <w:rsid w:val="000D287F"/>
    <w:rsid w:val="000D2E05"/>
    <w:rsid w:val="000D3F0D"/>
    <w:rsid w:val="000D4D11"/>
    <w:rsid w:val="000F6D80"/>
    <w:rsid w:val="001173A6"/>
    <w:rsid w:val="00120370"/>
    <w:rsid w:val="0013213A"/>
    <w:rsid w:val="00146F6A"/>
    <w:rsid w:val="00155DCF"/>
    <w:rsid w:val="001561A0"/>
    <w:rsid w:val="001566D7"/>
    <w:rsid w:val="00161524"/>
    <w:rsid w:val="00172CAF"/>
    <w:rsid w:val="00174924"/>
    <w:rsid w:val="00185684"/>
    <w:rsid w:val="00190C9F"/>
    <w:rsid w:val="001947D6"/>
    <w:rsid w:val="001C031D"/>
    <w:rsid w:val="001C4E89"/>
    <w:rsid w:val="001C512A"/>
    <w:rsid w:val="001D5576"/>
    <w:rsid w:val="001E561D"/>
    <w:rsid w:val="00200E0C"/>
    <w:rsid w:val="002028B2"/>
    <w:rsid w:val="00204063"/>
    <w:rsid w:val="002069CC"/>
    <w:rsid w:val="00206CCC"/>
    <w:rsid w:val="00207796"/>
    <w:rsid w:val="00211F81"/>
    <w:rsid w:val="00221EC5"/>
    <w:rsid w:val="00230319"/>
    <w:rsid w:val="002323B9"/>
    <w:rsid w:val="002359BE"/>
    <w:rsid w:val="0023699A"/>
    <w:rsid w:val="00251757"/>
    <w:rsid w:val="00257F8F"/>
    <w:rsid w:val="002661DF"/>
    <w:rsid w:val="002702F3"/>
    <w:rsid w:val="00272FED"/>
    <w:rsid w:val="00286671"/>
    <w:rsid w:val="0028744D"/>
    <w:rsid w:val="00287B1D"/>
    <w:rsid w:val="002A251F"/>
    <w:rsid w:val="002A293F"/>
    <w:rsid w:val="002B632F"/>
    <w:rsid w:val="002C6C87"/>
    <w:rsid w:val="002D7737"/>
    <w:rsid w:val="002D79A1"/>
    <w:rsid w:val="002E1ADA"/>
    <w:rsid w:val="002F2B0A"/>
    <w:rsid w:val="00301EA4"/>
    <w:rsid w:val="00305681"/>
    <w:rsid w:val="003076DE"/>
    <w:rsid w:val="0031460E"/>
    <w:rsid w:val="00325FFE"/>
    <w:rsid w:val="00327F69"/>
    <w:rsid w:val="00331B07"/>
    <w:rsid w:val="00336D40"/>
    <w:rsid w:val="00347E8A"/>
    <w:rsid w:val="00355D57"/>
    <w:rsid w:val="00363242"/>
    <w:rsid w:val="00363A9A"/>
    <w:rsid w:val="0036435A"/>
    <w:rsid w:val="00392F66"/>
    <w:rsid w:val="003A16CC"/>
    <w:rsid w:val="003A32BC"/>
    <w:rsid w:val="003B3163"/>
    <w:rsid w:val="003B331D"/>
    <w:rsid w:val="003B39A0"/>
    <w:rsid w:val="003B4AAC"/>
    <w:rsid w:val="003C17F3"/>
    <w:rsid w:val="003D0036"/>
    <w:rsid w:val="003E0831"/>
    <w:rsid w:val="003E2026"/>
    <w:rsid w:val="003E6D8C"/>
    <w:rsid w:val="003F1C77"/>
    <w:rsid w:val="00403418"/>
    <w:rsid w:val="004164A2"/>
    <w:rsid w:val="00421AF6"/>
    <w:rsid w:val="00422127"/>
    <w:rsid w:val="0042673F"/>
    <w:rsid w:val="0043650E"/>
    <w:rsid w:val="00451572"/>
    <w:rsid w:val="00475656"/>
    <w:rsid w:val="004824DD"/>
    <w:rsid w:val="004A0FBD"/>
    <w:rsid w:val="004A3D15"/>
    <w:rsid w:val="004A5680"/>
    <w:rsid w:val="004B6C7B"/>
    <w:rsid w:val="004C1703"/>
    <w:rsid w:val="004D743E"/>
    <w:rsid w:val="004E0DA2"/>
    <w:rsid w:val="004F60A1"/>
    <w:rsid w:val="00521CE1"/>
    <w:rsid w:val="00526DC5"/>
    <w:rsid w:val="005531E0"/>
    <w:rsid w:val="00556DEE"/>
    <w:rsid w:val="005644FD"/>
    <w:rsid w:val="00574CC1"/>
    <w:rsid w:val="00594F30"/>
    <w:rsid w:val="005B05E9"/>
    <w:rsid w:val="005B2714"/>
    <w:rsid w:val="005B6DBC"/>
    <w:rsid w:val="005C26FE"/>
    <w:rsid w:val="005E3ECC"/>
    <w:rsid w:val="00613153"/>
    <w:rsid w:val="00622A0E"/>
    <w:rsid w:val="00623E71"/>
    <w:rsid w:val="006275CB"/>
    <w:rsid w:val="00651002"/>
    <w:rsid w:val="00653C53"/>
    <w:rsid w:val="006624F1"/>
    <w:rsid w:val="00663C2D"/>
    <w:rsid w:val="0067204C"/>
    <w:rsid w:val="00674880"/>
    <w:rsid w:val="00684AE2"/>
    <w:rsid w:val="0069065C"/>
    <w:rsid w:val="006917F4"/>
    <w:rsid w:val="00693108"/>
    <w:rsid w:val="006A59B9"/>
    <w:rsid w:val="006A77A1"/>
    <w:rsid w:val="006D5BAA"/>
    <w:rsid w:val="00705B72"/>
    <w:rsid w:val="007112AF"/>
    <w:rsid w:val="0071291C"/>
    <w:rsid w:val="00713062"/>
    <w:rsid w:val="007166C0"/>
    <w:rsid w:val="007166FF"/>
    <w:rsid w:val="007214B6"/>
    <w:rsid w:val="00730757"/>
    <w:rsid w:val="007331D4"/>
    <w:rsid w:val="00736260"/>
    <w:rsid w:val="0076577A"/>
    <w:rsid w:val="0077022D"/>
    <w:rsid w:val="00770D3C"/>
    <w:rsid w:val="007A1E36"/>
    <w:rsid w:val="007A5191"/>
    <w:rsid w:val="007B7115"/>
    <w:rsid w:val="007B7DAA"/>
    <w:rsid w:val="007C1C02"/>
    <w:rsid w:val="007C4103"/>
    <w:rsid w:val="007C4F8F"/>
    <w:rsid w:val="007D7CAA"/>
    <w:rsid w:val="007E32DA"/>
    <w:rsid w:val="00802CBC"/>
    <w:rsid w:val="00820F84"/>
    <w:rsid w:val="00826814"/>
    <w:rsid w:val="0083316A"/>
    <w:rsid w:val="00844620"/>
    <w:rsid w:val="0085145A"/>
    <w:rsid w:val="00852ED9"/>
    <w:rsid w:val="00853488"/>
    <w:rsid w:val="00853A5B"/>
    <w:rsid w:val="00873652"/>
    <w:rsid w:val="008739E3"/>
    <w:rsid w:val="00891AA9"/>
    <w:rsid w:val="008A22B2"/>
    <w:rsid w:val="008A302C"/>
    <w:rsid w:val="008B7FD5"/>
    <w:rsid w:val="008C2E3E"/>
    <w:rsid w:val="008C3E84"/>
    <w:rsid w:val="008C5346"/>
    <w:rsid w:val="008E32D7"/>
    <w:rsid w:val="008E6774"/>
    <w:rsid w:val="008E76EE"/>
    <w:rsid w:val="008F7E67"/>
    <w:rsid w:val="00902DD1"/>
    <w:rsid w:val="00910191"/>
    <w:rsid w:val="0091159F"/>
    <w:rsid w:val="009311D4"/>
    <w:rsid w:val="00932512"/>
    <w:rsid w:val="009341B0"/>
    <w:rsid w:val="009347F3"/>
    <w:rsid w:val="0093716E"/>
    <w:rsid w:val="00941972"/>
    <w:rsid w:val="00943589"/>
    <w:rsid w:val="00953230"/>
    <w:rsid w:val="0095354C"/>
    <w:rsid w:val="009624EC"/>
    <w:rsid w:val="009675AA"/>
    <w:rsid w:val="0097098C"/>
    <w:rsid w:val="00971016"/>
    <w:rsid w:val="00974036"/>
    <w:rsid w:val="00983AA1"/>
    <w:rsid w:val="009943B7"/>
    <w:rsid w:val="009A4F8E"/>
    <w:rsid w:val="009A5497"/>
    <w:rsid w:val="009D5CDA"/>
    <w:rsid w:val="009D61FE"/>
    <w:rsid w:val="009E44B7"/>
    <w:rsid w:val="009F3C1A"/>
    <w:rsid w:val="00A117DA"/>
    <w:rsid w:val="00A11EF8"/>
    <w:rsid w:val="00A256F5"/>
    <w:rsid w:val="00A35F5C"/>
    <w:rsid w:val="00A44B79"/>
    <w:rsid w:val="00A67393"/>
    <w:rsid w:val="00A8698A"/>
    <w:rsid w:val="00AA53DC"/>
    <w:rsid w:val="00AA60DD"/>
    <w:rsid w:val="00AC6CBD"/>
    <w:rsid w:val="00AD5EE0"/>
    <w:rsid w:val="00AE34F3"/>
    <w:rsid w:val="00AF6211"/>
    <w:rsid w:val="00B06672"/>
    <w:rsid w:val="00B17A2F"/>
    <w:rsid w:val="00B20377"/>
    <w:rsid w:val="00B2681E"/>
    <w:rsid w:val="00B27B4B"/>
    <w:rsid w:val="00B46EC1"/>
    <w:rsid w:val="00B56904"/>
    <w:rsid w:val="00B57844"/>
    <w:rsid w:val="00B60F39"/>
    <w:rsid w:val="00B64D37"/>
    <w:rsid w:val="00B70A92"/>
    <w:rsid w:val="00B73ADE"/>
    <w:rsid w:val="00B768B0"/>
    <w:rsid w:val="00B85554"/>
    <w:rsid w:val="00B92676"/>
    <w:rsid w:val="00B961F7"/>
    <w:rsid w:val="00BD1F48"/>
    <w:rsid w:val="00BD2710"/>
    <w:rsid w:val="00BD5D27"/>
    <w:rsid w:val="00BD7287"/>
    <w:rsid w:val="00BE01E1"/>
    <w:rsid w:val="00BE600E"/>
    <w:rsid w:val="00BF33B3"/>
    <w:rsid w:val="00C11255"/>
    <w:rsid w:val="00C267AE"/>
    <w:rsid w:val="00C30889"/>
    <w:rsid w:val="00C31348"/>
    <w:rsid w:val="00C3351D"/>
    <w:rsid w:val="00C43499"/>
    <w:rsid w:val="00C46598"/>
    <w:rsid w:val="00C53AA1"/>
    <w:rsid w:val="00C631BF"/>
    <w:rsid w:val="00C636E2"/>
    <w:rsid w:val="00C91CBC"/>
    <w:rsid w:val="00C93B64"/>
    <w:rsid w:val="00CB42EB"/>
    <w:rsid w:val="00CC7E4B"/>
    <w:rsid w:val="00CD0119"/>
    <w:rsid w:val="00CD201D"/>
    <w:rsid w:val="00CD4F9D"/>
    <w:rsid w:val="00CE431A"/>
    <w:rsid w:val="00CE6F54"/>
    <w:rsid w:val="00CF6D23"/>
    <w:rsid w:val="00CF7143"/>
    <w:rsid w:val="00D0272B"/>
    <w:rsid w:val="00D0435F"/>
    <w:rsid w:val="00D10750"/>
    <w:rsid w:val="00D11C42"/>
    <w:rsid w:val="00D3047F"/>
    <w:rsid w:val="00D42EFF"/>
    <w:rsid w:val="00D451C3"/>
    <w:rsid w:val="00D56EDF"/>
    <w:rsid w:val="00D6631E"/>
    <w:rsid w:val="00D715C2"/>
    <w:rsid w:val="00D91145"/>
    <w:rsid w:val="00D928AC"/>
    <w:rsid w:val="00DA5610"/>
    <w:rsid w:val="00DB772C"/>
    <w:rsid w:val="00DC3C0E"/>
    <w:rsid w:val="00DC4B9C"/>
    <w:rsid w:val="00E044E0"/>
    <w:rsid w:val="00E10F18"/>
    <w:rsid w:val="00E15A27"/>
    <w:rsid w:val="00E22E7D"/>
    <w:rsid w:val="00E2412A"/>
    <w:rsid w:val="00E2679B"/>
    <w:rsid w:val="00E27526"/>
    <w:rsid w:val="00E40AA8"/>
    <w:rsid w:val="00E426A6"/>
    <w:rsid w:val="00E432B1"/>
    <w:rsid w:val="00E43E44"/>
    <w:rsid w:val="00E47159"/>
    <w:rsid w:val="00E50A36"/>
    <w:rsid w:val="00E51044"/>
    <w:rsid w:val="00E55204"/>
    <w:rsid w:val="00E85135"/>
    <w:rsid w:val="00E867B3"/>
    <w:rsid w:val="00E914C7"/>
    <w:rsid w:val="00EA33C9"/>
    <w:rsid w:val="00EA4AFB"/>
    <w:rsid w:val="00EB5054"/>
    <w:rsid w:val="00EC1A52"/>
    <w:rsid w:val="00EC1C58"/>
    <w:rsid w:val="00EC6478"/>
    <w:rsid w:val="00ED12E2"/>
    <w:rsid w:val="00ED76D9"/>
    <w:rsid w:val="00EE7AA4"/>
    <w:rsid w:val="00EF79FA"/>
    <w:rsid w:val="00F071CA"/>
    <w:rsid w:val="00F10EC8"/>
    <w:rsid w:val="00F2017D"/>
    <w:rsid w:val="00F304DA"/>
    <w:rsid w:val="00F33CB2"/>
    <w:rsid w:val="00F36AD6"/>
    <w:rsid w:val="00F376DC"/>
    <w:rsid w:val="00F40356"/>
    <w:rsid w:val="00F46906"/>
    <w:rsid w:val="00F46F06"/>
    <w:rsid w:val="00F4750B"/>
    <w:rsid w:val="00F716DF"/>
    <w:rsid w:val="00F81929"/>
    <w:rsid w:val="00F832FD"/>
    <w:rsid w:val="00FB3E53"/>
    <w:rsid w:val="00FB7416"/>
    <w:rsid w:val="00FC084C"/>
    <w:rsid w:val="00FD496F"/>
    <w:rsid w:val="00FD5EAA"/>
    <w:rsid w:val="00FE0909"/>
    <w:rsid w:val="00FE6D4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4E62A"/>
  <w15:chartTrackingRefBased/>
  <w15:docId w15:val="{AA88CC82-5EE2-4763-A618-80086CA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semiHidden/>
    <w:rsid w:val="0083316A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8331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67AE"/>
    <w:pPr>
      <w:ind w:left="720"/>
    </w:pPr>
  </w:style>
  <w:style w:type="paragraph" w:customStyle="1" w:styleId="Default">
    <w:name w:val="Default"/>
    <w:rsid w:val="001615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E54F6B4F7A54B87ACA30885FCE180" ma:contentTypeVersion="9" ma:contentTypeDescription="Create a new document." ma:contentTypeScope="" ma:versionID="0c262913378bb6ebde67aeb4304bf81e">
  <xsd:schema xmlns:xsd="http://www.w3.org/2001/XMLSchema" xmlns:xs="http://www.w3.org/2001/XMLSchema" xmlns:p="http://schemas.microsoft.com/office/2006/metadata/properties" xmlns:ns3="b9b5be93-64df-47b1-8fdf-de82a9cdb9ca" targetNamespace="http://schemas.microsoft.com/office/2006/metadata/properties" ma:root="true" ma:fieldsID="7fbf00383466658ebe38ba13226d43e9" ns3:_="">
    <xsd:import namespace="b9b5be93-64df-47b1-8fdf-de82a9cdb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be93-64df-47b1-8fdf-de82a9cd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5D555-73AC-4D16-B538-D5B63BDE5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F2D8F-EC4A-4FEA-A59B-10A278BD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5be93-64df-47b1-8fdf-de82a9cdb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1B82B-BCF5-4E1C-903A-6E558C492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906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Sarahj</dc:creator>
  <cp:keywords/>
  <cp:lastModifiedBy>Alex Errington</cp:lastModifiedBy>
  <cp:revision>21</cp:revision>
  <cp:lastPrinted>2016-09-12T10:57:00Z</cp:lastPrinted>
  <dcterms:created xsi:type="dcterms:W3CDTF">2021-03-22T16:23:00Z</dcterms:created>
  <dcterms:modified xsi:type="dcterms:W3CDTF">2021-03-31T13:09:00Z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0x0101003B9E54F6B4F7A54B87ACA30885FCE180</vt:lpwstr>
  </property>
</Properties>
</file>